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A6EE7" w14:textId="77777777" w:rsidR="005A75CF" w:rsidRPr="00A45D52" w:rsidRDefault="005A75CF" w:rsidP="00A60978">
      <w:pPr>
        <w:pStyle w:val="Heading1"/>
        <w:spacing w:before="120"/>
      </w:pPr>
      <w:bookmarkStart w:id="0" w:name="_Toc428719688"/>
      <w:r w:rsidRPr="00A45D52">
        <w:t>User Guide for Direct Costs Calculators</w:t>
      </w:r>
    </w:p>
    <w:p w14:paraId="72DD7087" w14:textId="77777777" w:rsidR="005A75CF" w:rsidRDefault="005A75CF" w:rsidP="005A75CF">
      <w:r>
        <w:t xml:space="preserve">This guide provides instructions for using the standard and simplified versions of the direct costs calculator. </w:t>
      </w:r>
    </w:p>
    <w:p w14:paraId="3432D85D" w14:textId="77777777" w:rsidR="005A75CF" w:rsidRDefault="005A75CF" w:rsidP="005A75CF">
      <w:r>
        <w:t xml:space="preserve">The emphasis of this user guide is on the operation of the direct costs calculators. It does not focus on the process of identifying relevant compliance costs for a regulatory proposal. The following </w:t>
      </w:r>
      <w:hyperlink r:id="rId12" w:history="1">
        <w:r w:rsidRPr="00D74759">
          <w:rPr>
            <w:rStyle w:val="Hyperlink"/>
          </w:rPr>
          <w:t>guidance note</w:t>
        </w:r>
      </w:hyperlink>
      <w:r>
        <w:t xml:space="preserve"> from the Commonwealth Office of Impact Analysis provides a useful overview of examples of direct compliance costs and how to estimate changes in regulatory burden.</w:t>
      </w:r>
      <w:r>
        <w:rPr>
          <w:rStyle w:val="FootnoteReference"/>
        </w:rPr>
        <w:footnoteReference w:id="2"/>
      </w:r>
    </w:p>
    <w:p w14:paraId="1DA3423A" w14:textId="77777777" w:rsidR="005A75CF" w:rsidRDefault="005A75CF" w:rsidP="005A75CF">
      <w:pPr>
        <w:pStyle w:val="Heading2"/>
      </w:pPr>
      <w:r>
        <w:t>When should the direct costs calculator to be used?</w:t>
      </w:r>
    </w:p>
    <w:p w14:paraId="1B3067C4" w14:textId="77777777" w:rsidR="005A75CF" w:rsidRDefault="005A75CF" w:rsidP="005A75CF">
      <w:r>
        <w:t>Agencies need to use the direct costs calculator to estimate the direct costs of compliance for individuals, businesses and community organisations impacted by the regulatory proposal. Direct compliance costs refer to administrative, delay and other substantive costs that entities may incur to comply with a regulation (refer Appendix 1). Direct compliance costs are a required field in the Summary Impact Analysis Statement (IAS) template.</w:t>
      </w:r>
    </w:p>
    <w:p w14:paraId="2B0982A0" w14:textId="77777777" w:rsidR="005A75CF" w:rsidRDefault="005A75CF" w:rsidP="005A75CF">
      <w:r>
        <w:t xml:space="preserve">The direct costs calculator is </w:t>
      </w:r>
      <w:r w:rsidRPr="003047A4">
        <w:rPr>
          <w:b/>
          <w:bCs/>
          <w:u w:val="single"/>
        </w:rPr>
        <w:t>not</w:t>
      </w:r>
      <w:r>
        <w:t xml:space="preserve"> designed to be used to estimate costs to government. Similarly, any other indirect social costs and transfers are excluded from this analysis. Where agencies are required to complete a full IAS, this must be accompanied by a comprehensive cost benefit analysis (CBA) that evaluates the total costs and total benefits of the regulatory proposal. While direct compliance costs will inevitably form part of a broader CBA, a complete CBA is beyond the scope of the direct costs calculators.</w:t>
      </w:r>
    </w:p>
    <w:p w14:paraId="26E50559" w14:textId="77777777" w:rsidR="005A75CF" w:rsidRDefault="005A75CF" w:rsidP="005A75CF">
      <w:pPr>
        <w:pStyle w:val="Heading2"/>
      </w:pPr>
      <w:r>
        <w:t>Standard direct costs calculator</w:t>
      </w:r>
    </w:p>
    <w:p w14:paraId="3B0AFD47" w14:textId="77777777" w:rsidR="005A75CF" w:rsidRDefault="005A75CF" w:rsidP="005A75CF">
      <w:r>
        <w:t>The standard direct costs calculator replicates all the features of the web-based Commonwealth Regulatory Burden Measure (RBM), which is currently unavailable.</w:t>
      </w:r>
    </w:p>
    <w:p w14:paraId="2FA34D62" w14:textId="77777777" w:rsidR="005A75CF" w:rsidRDefault="005A75CF" w:rsidP="005A75CF">
      <w:pPr>
        <w:pStyle w:val="Heading4"/>
      </w:pPr>
      <w:r>
        <w:t xml:space="preserve">Summaries sheet </w:t>
      </w:r>
    </w:p>
    <w:p w14:paraId="26DC721C" w14:textId="77777777" w:rsidR="005A75CF" w:rsidRDefault="005A75CF" w:rsidP="005A75CF">
      <w:r>
        <w:t>The ‘Summaries’ sheet presents the direct compliance cost estimates that agencies need to report in their IAS template. This sheet also displays disaggregated compliance cost estimates for each activity category (refer Appendix 1) and segment (individuals, businesses, and community organisations). Businesses and community organisations are also delineated by size (small, medium and large).</w:t>
      </w:r>
    </w:p>
    <w:p w14:paraId="721256EA" w14:textId="77777777" w:rsidR="005A75CF" w:rsidRPr="00A742A0" w:rsidRDefault="005A75CF" w:rsidP="005A75CF">
      <w:r>
        <w:t>Other than specifying the number of years for the impact assessment and the discount rates</w:t>
      </w:r>
      <w:r>
        <w:rPr>
          <w:rStyle w:val="FootnoteReference"/>
        </w:rPr>
        <w:footnoteReference w:id="3"/>
      </w:r>
      <w:r>
        <w:t xml:space="preserve"> for the base case and the sensitivity analysis</w:t>
      </w:r>
      <w:r>
        <w:rPr>
          <w:rStyle w:val="FootnoteReference"/>
        </w:rPr>
        <w:footnoteReference w:id="4"/>
      </w:r>
      <w:r>
        <w:t>, the user does not need to make any further changes in this sheet.</w:t>
      </w:r>
      <w:r>
        <w:rPr>
          <w:rStyle w:val="FootnoteReference"/>
        </w:rPr>
        <w:footnoteReference w:id="5"/>
      </w:r>
      <w:r>
        <w:t xml:space="preserve"> The user can simply extract the relevant figures for the IAS template.</w:t>
      </w:r>
    </w:p>
    <w:p w14:paraId="449D386F" w14:textId="77777777" w:rsidR="005A75CF" w:rsidRDefault="005A75CF" w:rsidP="005A75CF">
      <w:pPr>
        <w:pStyle w:val="Heading4"/>
      </w:pPr>
      <w:r w:rsidRPr="000F797A">
        <w:t>Individuals, Businesses and Community Organisation</w:t>
      </w:r>
      <w:r>
        <w:t>s</w:t>
      </w:r>
      <w:r w:rsidRPr="000F797A">
        <w:t xml:space="preserve"> </w:t>
      </w:r>
      <w:r>
        <w:t>shee</w:t>
      </w:r>
      <w:r w:rsidRPr="000F797A">
        <w:t>ts</w:t>
      </w:r>
    </w:p>
    <w:p w14:paraId="5E8AC3AD" w14:textId="77777777" w:rsidR="005A75CF" w:rsidRPr="005A75CF" w:rsidRDefault="005A75CF" w:rsidP="005A75CF">
      <w:pPr>
        <w:rPr>
          <w:rFonts w:cs="Segoe UI"/>
        </w:rPr>
      </w:pPr>
      <w:r w:rsidRPr="005A75CF">
        <w:rPr>
          <w:rFonts w:cs="Segoe UI"/>
        </w:rPr>
        <w:t xml:space="preserve">These three sheets operate in a similar manner. For each category and business/organisation size, the user needs to enter in the relevant inputs so that the total activity cost for each category can be calculated. The user can adjust the ‘Category’ and ‘Size’ filters in columns A and B to hide any unwanted sections. </w:t>
      </w:r>
    </w:p>
    <w:p w14:paraId="0C81BD63" w14:textId="77777777" w:rsidR="005A75CF" w:rsidRPr="005A75CF" w:rsidRDefault="005A75CF" w:rsidP="005A75CF">
      <w:pPr>
        <w:rPr>
          <w:rFonts w:cs="Segoe UI"/>
        </w:rPr>
      </w:pPr>
      <w:r w:rsidRPr="005A75CF">
        <w:rPr>
          <w:rFonts w:cs="Segoe UI"/>
        </w:rPr>
        <w:t>Most activities are labour-based, but the precise information varies depending on the activity (for instance, the ‘Purchasing’ categories are not labour based – instead, the user simply needs to specify the number of times purchased per year and the purchase cost per activity). The required inputs differ depending on the category, but generally involve specifying the following:</w:t>
      </w:r>
    </w:p>
    <w:p w14:paraId="684B23E7" w14:textId="77777777" w:rsidR="005A75CF" w:rsidRPr="005A75CF" w:rsidRDefault="005A75CF" w:rsidP="005A75CF">
      <w:pPr>
        <w:pStyle w:val="ListParagraph"/>
        <w:numPr>
          <w:ilvl w:val="0"/>
          <w:numId w:val="7"/>
        </w:numPr>
        <w:spacing w:before="120"/>
        <w:rPr>
          <w:rFonts w:cs="Segoe UI"/>
        </w:rPr>
      </w:pPr>
      <w:r w:rsidRPr="005A75CF">
        <w:rPr>
          <w:rFonts w:cs="Segoe UI"/>
        </w:rPr>
        <w:t>The number of individuals / businesses / community organisations affected by the activity</w:t>
      </w:r>
    </w:p>
    <w:p w14:paraId="25AD43D0" w14:textId="77777777" w:rsidR="005A75CF" w:rsidRPr="005A75CF" w:rsidRDefault="005A75CF" w:rsidP="005A75CF">
      <w:pPr>
        <w:pStyle w:val="ListParagraph"/>
        <w:numPr>
          <w:ilvl w:val="0"/>
          <w:numId w:val="7"/>
        </w:numPr>
        <w:spacing w:before="120"/>
        <w:rPr>
          <w:rFonts w:cs="Segoe UI"/>
        </w:rPr>
      </w:pPr>
      <w:r w:rsidRPr="005A75CF">
        <w:rPr>
          <w:rFonts w:cs="Segoe UI"/>
        </w:rPr>
        <w:t xml:space="preserve">The number of staff per business / community organisation affected by the activity (not relevant for individuals) </w:t>
      </w:r>
    </w:p>
    <w:p w14:paraId="030F55D0" w14:textId="77777777" w:rsidR="005A75CF" w:rsidRPr="005A75CF" w:rsidRDefault="005A75CF" w:rsidP="005A75CF">
      <w:pPr>
        <w:pStyle w:val="ListParagraph"/>
        <w:numPr>
          <w:ilvl w:val="0"/>
          <w:numId w:val="7"/>
        </w:numPr>
        <w:spacing w:before="120"/>
        <w:rPr>
          <w:rFonts w:cs="Segoe UI"/>
        </w:rPr>
      </w:pPr>
      <w:r w:rsidRPr="005A75CF">
        <w:rPr>
          <w:rFonts w:cs="Segoe UI"/>
        </w:rPr>
        <w:t>Number of times the activity is performed per staff member each year</w:t>
      </w:r>
    </w:p>
    <w:p w14:paraId="7E5BB878" w14:textId="77777777" w:rsidR="005A75CF" w:rsidRPr="005A75CF" w:rsidRDefault="005A75CF" w:rsidP="005A75CF">
      <w:pPr>
        <w:pStyle w:val="ListParagraph"/>
        <w:numPr>
          <w:ilvl w:val="0"/>
          <w:numId w:val="7"/>
        </w:numPr>
        <w:spacing w:before="120"/>
        <w:rPr>
          <w:rFonts w:cs="Segoe UI"/>
        </w:rPr>
      </w:pPr>
      <w:r w:rsidRPr="005A75CF">
        <w:rPr>
          <w:rFonts w:cs="Segoe UI"/>
        </w:rPr>
        <w:t>The average time per staff member to complete the activity</w:t>
      </w:r>
    </w:p>
    <w:p w14:paraId="1FC0BE5F" w14:textId="77777777" w:rsidR="005A75CF" w:rsidRPr="005A75CF" w:rsidRDefault="005A75CF" w:rsidP="005A75CF">
      <w:pPr>
        <w:pStyle w:val="ListParagraph"/>
        <w:numPr>
          <w:ilvl w:val="0"/>
          <w:numId w:val="7"/>
        </w:numPr>
        <w:spacing w:before="120"/>
        <w:rPr>
          <w:rFonts w:cs="Segoe UI"/>
        </w:rPr>
      </w:pPr>
      <w:r w:rsidRPr="005A75CF">
        <w:rPr>
          <w:rFonts w:cs="Segoe UI"/>
        </w:rPr>
        <w:lastRenderedPageBreak/>
        <w:t>Hourly labour cost (incorporating wage and non-wage labour costs) –</w:t>
      </w:r>
    </w:p>
    <w:p w14:paraId="405406C6" w14:textId="77777777" w:rsidR="005A75CF" w:rsidRPr="005A75CF" w:rsidRDefault="005A75CF" w:rsidP="005A75CF">
      <w:pPr>
        <w:pStyle w:val="ListBullet"/>
      </w:pPr>
      <w:r w:rsidRPr="005A75CF">
        <w:t>note that all compliance costs are measured in real terms (i.e., hourly labour costs should not be adjusted over time to reflect economy-wide inflation)</w:t>
      </w:r>
    </w:p>
    <w:p w14:paraId="72949F9C" w14:textId="77777777" w:rsidR="005A75CF" w:rsidRPr="005A75CF" w:rsidRDefault="005A75CF" w:rsidP="005A75CF">
      <w:pPr>
        <w:pStyle w:val="ListBullet"/>
      </w:pPr>
      <w:r w:rsidRPr="005A75CF">
        <w:t>where there are a range of staff on different salaries completing the same activity, the labour cost may reflect the weighted average of these hourly rates.</w:t>
      </w:r>
    </w:p>
    <w:p w14:paraId="4ABC2107" w14:textId="77777777" w:rsidR="005A75CF" w:rsidRPr="005A75CF" w:rsidRDefault="005A75CF" w:rsidP="005A75CF">
      <w:pPr>
        <w:rPr>
          <w:rFonts w:cs="Segoe UI"/>
        </w:rPr>
      </w:pPr>
      <w:r w:rsidRPr="005A75CF">
        <w:rPr>
          <w:rFonts w:cs="Segoe UI"/>
        </w:rPr>
        <w:t xml:space="preserve">The user needs to enter this information for the desired number of years. Any years not required can be left blank. </w:t>
      </w:r>
    </w:p>
    <w:p w14:paraId="2E4BDF0A" w14:textId="77777777" w:rsidR="005A75CF" w:rsidRPr="005A75CF" w:rsidRDefault="005A75CF" w:rsidP="005A75CF">
      <w:pPr>
        <w:rPr>
          <w:rFonts w:cs="Segoe UI"/>
        </w:rPr>
      </w:pPr>
      <w:r w:rsidRPr="005A75CF">
        <w:rPr>
          <w:rFonts w:cs="Segoe UI"/>
        </w:rPr>
        <w:t>By default, the IAS template measures compliance costs only for the first 10 years. It is open to agencies to justify a different timeframe if deemed appropriate. In the calculator, this setting is controlled by the ‘Number of years for impact assessment’ option on the ‘Summaries’ sheet. If the user adds information beyond the number of years set for this option, these costs will be ignored when generating the figures on the ‘Summaries’ sheet.</w:t>
      </w:r>
    </w:p>
    <w:p w14:paraId="2FB83FC7" w14:textId="77777777" w:rsidR="005A75CF" w:rsidRPr="005A75CF" w:rsidRDefault="005A75CF" w:rsidP="005A75CF">
      <w:pPr>
        <w:rPr>
          <w:rFonts w:cs="Segoe UI"/>
        </w:rPr>
      </w:pPr>
      <w:r w:rsidRPr="005A75CF">
        <w:rPr>
          <w:rFonts w:cs="Segoe UI"/>
        </w:rPr>
        <w:t xml:space="preserve">The spreadsheet then converts the annual costs to present values using the discount rates agencies specify in the ‘Summaries’ sheet. </w:t>
      </w:r>
    </w:p>
    <w:p w14:paraId="4A737129" w14:textId="77777777" w:rsidR="005A75CF" w:rsidRPr="005A75CF" w:rsidRDefault="005A75CF" w:rsidP="005A75CF">
      <w:pPr>
        <w:rPr>
          <w:rFonts w:cs="Segoe UI"/>
          <w:i/>
          <w:iCs/>
        </w:rPr>
      </w:pPr>
      <w:r w:rsidRPr="005A75CF">
        <w:rPr>
          <w:rFonts w:cs="Segoe UI"/>
          <w:i/>
          <w:iCs/>
          <w:u w:val="single"/>
        </w:rPr>
        <w:t>Note:</w:t>
      </w:r>
      <w:r w:rsidRPr="005A75CF">
        <w:rPr>
          <w:rFonts w:cs="Segoe UI"/>
          <w:i/>
          <w:iCs/>
        </w:rPr>
        <w:t xml:space="preserve"> Consistent with the Commonwealth RBM, the first year of ongoing costs is incurred immediately, rather than at the end of the first year. This is a slightly different assumption from a conventional capital budgeting exercise.</w:t>
      </w:r>
    </w:p>
    <w:p w14:paraId="49C910C1" w14:textId="77777777" w:rsidR="005A75CF" w:rsidRDefault="005A75CF" w:rsidP="005A75CF">
      <w:pPr>
        <w:pStyle w:val="Heading2"/>
      </w:pPr>
      <w:r>
        <w:t>Simplified direct costs calculator</w:t>
      </w:r>
    </w:p>
    <w:p w14:paraId="4194944E" w14:textId="77777777" w:rsidR="005A75CF" w:rsidRPr="005A75CF" w:rsidRDefault="005A75CF" w:rsidP="005A75CF">
      <w:pPr>
        <w:rPr>
          <w:rFonts w:cs="Segoe UI"/>
        </w:rPr>
      </w:pPr>
      <w:r w:rsidRPr="005A75CF">
        <w:rPr>
          <w:rFonts w:cs="Segoe UI"/>
        </w:rPr>
        <w:t>The simplified direct costs calculator is a streamlined version of the standard model. As such, it has less flexibility than the standard model:</w:t>
      </w:r>
    </w:p>
    <w:p w14:paraId="7C0A4627" w14:textId="77777777" w:rsidR="005A75CF" w:rsidRPr="005A75CF" w:rsidRDefault="005A75CF" w:rsidP="005A75CF">
      <w:pPr>
        <w:pStyle w:val="TableListBullet"/>
        <w:numPr>
          <w:ilvl w:val="0"/>
          <w:numId w:val="5"/>
        </w:numPr>
        <w:rPr>
          <w:rFonts w:ascii="Segoe UI" w:hAnsi="Segoe UI" w:cs="Segoe UI"/>
        </w:rPr>
      </w:pPr>
      <w:r w:rsidRPr="005A75CF">
        <w:rPr>
          <w:rFonts w:ascii="Segoe UI" w:hAnsi="Segoe UI" w:cs="Segoe UI"/>
        </w:rPr>
        <w:t>There is no size distinction between small, medium, and large businesses and community organisations</w:t>
      </w:r>
    </w:p>
    <w:p w14:paraId="313253DC" w14:textId="77777777" w:rsidR="005A75CF" w:rsidRPr="005A75CF" w:rsidRDefault="005A75CF" w:rsidP="005A75CF">
      <w:pPr>
        <w:pStyle w:val="TableListBullet"/>
        <w:numPr>
          <w:ilvl w:val="0"/>
          <w:numId w:val="5"/>
        </w:numPr>
        <w:rPr>
          <w:rFonts w:ascii="Segoe UI" w:hAnsi="Segoe UI" w:cs="Segoe UI"/>
        </w:rPr>
      </w:pPr>
      <w:r w:rsidRPr="005A75CF">
        <w:rPr>
          <w:rFonts w:ascii="Segoe UI" w:hAnsi="Segoe UI" w:cs="Segoe UI"/>
        </w:rPr>
        <w:t>Ongoing costs are assumed to be constant each year, rather than having the flexibility to vary them by year</w:t>
      </w:r>
    </w:p>
    <w:p w14:paraId="72C7E4FA" w14:textId="77777777" w:rsidR="005A75CF" w:rsidRPr="005A75CF" w:rsidRDefault="005A75CF" w:rsidP="005A75CF">
      <w:pPr>
        <w:pStyle w:val="TableListBullet"/>
        <w:numPr>
          <w:ilvl w:val="0"/>
          <w:numId w:val="5"/>
        </w:numPr>
        <w:rPr>
          <w:rFonts w:ascii="Segoe UI" w:hAnsi="Segoe UI" w:cs="Segoe UI"/>
        </w:rPr>
      </w:pPr>
      <w:r w:rsidRPr="005A75CF">
        <w:rPr>
          <w:rFonts w:ascii="Segoe UI" w:hAnsi="Segoe UI" w:cs="Segoe UI"/>
        </w:rPr>
        <w:t>There is a single labour cost assumption for the entire model (the standard model allows the user to change the labour cost depending on the cost category)</w:t>
      </w:r>
    </w:p>
    <w:p w14:paraId="79A844A7" w14:textId="77777777" w:rsidR="005A75CF" w:rsidRPr="005A75CF" w:rsidRDefault="005A75CF" w:rsidP="005A75CF">
      <w:pPr>
        <w:pStyle w:val="TableListBullet"/>
        <w:numPr>
          <w:ilvl w:val="0"/>
          <w:numId w:val="5"/>
        </w:numPr>
        <w:rPr>
          <w:rFonts w:ascii="Segoe UI" w:hAnsi="Segoe UI" w:cs="Segoe UI"/>
        </w:rPr>
      </w:pPr>
      <w:r w:rsidRPr="005A75CF">
        <w:rPr>
          <w:rFonts w:ascii="Segoe UI" w:hAnsi="Segoe UI" w:cs="Segoe UI"/>
        </w:rPr>
        <w:t>Total number of years is the same throughout the model (in the standard model, it is possible for the user to assume, say, a 5-year period for some activities, but a 10-year timeframe for another activity)</w:t>
      </w:r>
    </w:p>
    <w:p w14:paraId="475EA1FE" w14:textId="77777777" w:rsidR="005A75CF" w:rsidRPr="005A75CF" w:rsidRDefault="005A75CF" w:rsidP="005A75CF">
      <w:pPr>
        <w:rPr>
          <w:rFonts w:cs="Segoe UI"/>
        </w:rPr>
      </w:pPr>
      <w:r w:rsidRPr="005A75CF">
        <w:rPr>
          <w:rFonts w:cs="Segoe UI"/>
        </w:rPr>
        <w:t>It is open to agencies to use either the standard or simplified direct costs calculator depending on the requirements of their regulatory impact analysis, having regard to the limitations of the simplified calculator.</w:t>
      </w:r>
    </w:p>
    <w:p w14:paraId="147979B3" w14:textId="77777777" w:rsidR="005A75CF" w:rsidRDefault="005A75CF" w:rsidP="005A75CF">
      <w:pPr>
        <w:pStyle w:val="Heading4"/>
      </w:pPr>
      <w:r>
        <w:t>Inputs sheet (representative screenshot in Appendix 2)</w:t>
      </w:r>
    </w:p>
    <w:p w14:paraId="133E7523" w14:textId="77777777" w:rsidR="005A75CF" w:rsidRPr="005A75CF" w:rsidRDefault="005A75CF" w:rsidP="005A75CF">
      <w:pPr>
        <w:rPr>
          <w:rFonts w:cs="Segoe UI"/>
        </w:rPr>
      </w:pPr>
      <w:r w:rsidRPr="005A75CF">
        <w:rPr>
          <w:rFonts w:cs="Segoe UI"/>
        </w:rPr>
        <w:t>This is the only sheet where the user needs to make changes. The user specifies the following general inputs:</w:t>
      </w:r>
    </w:p>
    <w:p w14:paraId="5E208087" w14:textId="77777777" w:rsidR="005A75CF" w:rsidRPr="005A75CF" w:rsidRDefault="005A75CF" w:rsidP="005A75CF">
      <w:pPr>
        <w:pStyle w:val="TableListBullet"/>
        <w:numPr>
          <w:ilvl w:val="0"/>
          <w:numId w:val="6"/>
        </w:numPr>
        <w:rPr>
          <w:rFonts w:ascii="Segoe UI" w:hAnsi="Segoe UI" w:cs="Segoe UI"/>
        </w:rPr>
      </w:pPr>
      <w:r w:rsidRPr="005A75CF">
        <w:rPr>
          <w:rFonts w:ascii="Segoe UI" w:hAnsi="Segoe UI" w:cs="Segoe UI"/>
        </w:rPr>
        <w:t>Labour cost ($/hour), incorporating both wage and non-wage costs</w:t>
      </w:r>
    </w:p>
    <w:p w14:paraId="1FEF9974" w14:textId="77777777" w:rsidR="005A75CF" w:rsidRPr="005A75CF" w:rsidRDefault="005A75CF" w:rsidP="005A75CF">
      <w:pPr>
        <w:pStyle w:val="TableListBullet"/>
        <w:numPr>
          <w:ilvl w:val="0"/>
          <w:numId w:val="6"/>
        </w:numPr>
        <w:rPr>
          <w:rFonts w:ascii="Segoe UI" w:hAnsi="Segoe UI" w:cs="Segoe UI"/>
        </w:rPr>
      </w:pPr>
      <w:r w:rsidRPr="005A75CF">
        <w:rPr>
          <w:rFonts w:ascii="Segoe UI" w:hAnsi="Segoe UI" w:cs="Segoe UI"/>
        </w:rPr>
        <w:t>Number of years for the assessment (again, the Summary IAS template specifies a 10-year period for direct compliance costs by default, but it is open to agencies to justify a different timeframe if appropriate)</w:t>
      </w:r>
    </w:p>
    <w:p w14:paraId="45DECBE2" w14:textId="77777777" w:rsidR="005A75CF" w:rsidRPr="005A75CF" w:rsidRDefault="005A75CF" w:rsidP="005A75CF">
      <w:pPr>
        <w:pStyle w:val="TableListBullet"/>
        <w:numPr>
          <w:ilvl w:val="0"/>
          <w:numId w:val="6"/>
        </w:numPr>
        <w:rPr>
          <w:rFonts w:ascii="Segoe UI" w:hAnsi="Segoe UI" w:cs="Segoe UI"/>
        </w:rPr>
      </w:pPr>
      <w:r w:rsidRPr="005A75CF">
        <w:rPr>
          <w:rFonts w:ascii="Segoe UI" w:hAnsi="Segoe UI" w:cs="Segoe UI"/>
        </w:rPr>
        <w:t>Discount rate (there is also a separate section for sensitivity analysis)</w:t>
      </w:r>
    </w:p>
    <w:p w14:paraId="0F4087A7" w14:textId="77777777" w:rsidR="005A75CF" w:rsidRPr="005A75CF" w:rsidRDefault="005A75CF" w:rsidP="005A75CF">
      <w:pPr>
        <w:rPr>
          <w:rFonts w:cs="Segoe UI"/>
        </w:rPr>
      </w:pPr>
      <w:r w:rsidRPr="005A75CF">
        <w:rPr>
          <w:rFonts w:cs="Segoe UI"/>
        </w:rPr>
        <w:t>In the activity-specific inputs section of the sheet, the user will need to enter information about each activity category as required. For each category, there is the option of entering startup costs (one-off upfront costs) and ongoing costs.</w:t>
      </w:r>
    </w:p>
    <w:p w14:paraId="39A0D062" w14:textId="77777777" w:rsidR="005A75CF" w:rsidRPr="005A75CF" w:rsidRDefault="005A75CF" w:rsidP="005A75CF">
      <w:pPr>
        <w:rPr>
          <w:rFonts w:cs="Segoe UI"/>
        </w:rPr>
      </w:pPr>
      <w:r w:rsidRPr="005A75CF">
        <w:rPr>
          <w:rFonts w:cs="Segoe UI"/>
        </w:rPr>
        <w:t>Some of the cells in the ‘INDIVIDUALS’ columns are locked and shaded out as the ‘number of staff’ is not a relevant input for individuals.</w:t>
      </w:r>
    </w:p>
    <w:p w14:paraId="69671AB6" w14:textId="77777777" w:rsidR="005A75CF" w:rsidRPr="005A75CF" w:rsidRDefault="005A75CF" w:rsidP="005A75CF">
      <w:pPr>
        <w:rPr>
          <w:rFonts w:cs="Segoe UI"/>
        </w:rPr>
      </w:pPr>
      <w:r w:rsidRPr="005A75CF">
        <w:rPr>
          <w:rFonts w:cs="Segoe UI"/>
        </w:rPr>
        <w:t>As noted for the standard model, the first year of ongoing costs is incurred immediately, rather than at the end of the first year, consistent with the Commonwealth RBM. This is a slightly different assumption from a conventional capital budgeting exercise.</w:t>
      </w:r>
    </w:p>
    <w:p w14:paraId="3378B386" w14:textId="77777777" w:rsidR="005A75CF" w:rsidRDefault="005A75CF" w:rsidP="005A75CF">
      <w:pPr>
        <w:pStyle w:val="Heading4"/>
      </w:pPr>
      <w:r>
        <w:t>Summaries sheet (representative screenshot in Appendix 2)</w:t>
      </w:r>
    </w:p>
    <w:p w14:paraId="388BFBBD" w14:textId="77777777" w:rsidR="005A75CF" w:rsidRPr="005A75CF" w:rsidRDefault="005A75CF" w:rsidP="005A75CF">
      <w:pPr>
        <w:rPr>
          <w:rFonts w:cs="Segoe UI"/>
        </w:rPr>
      </w:pPr>
      <w:r w:rsidRPr="005A75CF">
        <w:rPr>
          <w:rFonts w:cs="Segoe UI"/>
        </w:rPr>
        <w:t>The ‘Summaries’ sheet displays the direct compliance cost estimates that agencies need to report in their IAS, along with estimates for each activity category and segment (individuals, businesses, and community organisations).</w:t>
      </w:r>
    </w:p>
    <w:p w14:paraId="6D455640" w14:textId="77777777" w:rsidR="005A75CF" w:rsidRPr="005A75CF" w:rsidRDefault="005A75CF" w:rsidP="005A75CF">
      <w:pPr>
        <w:rPr>
          <w:rFonts w:cs="Segoe UI"/>
        </w:rPr>
      </w:pPr>
      <w:r w:rsidRPr="005A75CF">
        <w:rPr>
          <w:rFonts w:cs="Segoe UI"/>
        </w:rPr>
        <w:t>The user does not need to make any changes in this sheet. The user can simply extract the relevant figures as required for their assessment.</w:t>
      </w:r>
    </w:p>
    <w:p w14:paraId="180AD83A" w14:textId="77777777" w:rsidR="005A75CF" w:rsidRPr="00C92F9C" w:rsidRDefault="005A75CF" w:rsidP="005A75CF">
      <w:pPr>
        <w:pStyle w:val="Heading4"/>
      </w:pPr>
      <w:r>
        <w:lastRenderedPageBreak/>
        <w:t>Other sheets</w:t>
      </w:r>
    </w:p>
    <w:p w14:paraId="7315F006" w14:textId="77777777" w:rsidR="005A75CF" w:rsidRPr="00DA274F" w:rsidRDefault="005A75CF" w:rsidP="005A75CF">
      <w:r>
        <w:t>In the simplified model, the user does not need to interact with the ‘Individuals’, ‘Businesses’ or ‘Community Organisations’ sheets. All relevant estimates are captured in the ‘Summaries’ sheets.</w:t>
      </w:r>
    </w:p>
    <w:p w14:paraId="27CCED0E" w14:textId="77777777" w:rsidR="005A75CF" w:rsidRDefault="005A75CF">
      <w:pPr>
        <w:spacing w:after="160" w:line="278" w:lineRule="auto"/>
        <w:rPr>
          <w:rFonts w:asciiTheme="majorHAnsi" w:eastAsiaTheme="majorEastAsia" w:hAnsiTheme="majorHAnsi" w:cstheme="majorBidi"/>
          <w:color w:val="449EAE" w:themeColor="accent1" w:themeShade="BF"/>
          <w:sz w:val="40"/>
          <w:szCs w:val="40"/>
        </w:rPr>
      </w:pPr>
      <w:r>
        <w:br w:type="page"/>
      </w:r>
    </w:p>
    <w:p w14:paraId="2BA616E8" w14:textId="4AC2A1FB" w:rsidR="005A75CF" w:rsidRDefault="005A75CF" w:rsidP="00B93BF7">
      <w:pPr>
        <w:pStyle w:val="Heading2"/>
      </w:pPr>
      <w:r>
        <w:lastRenderedPageBreak/>
        <w:t xml:space="preserve">Appendix 1: </w:t>
      </w:r>
      <w:r w:rsidRPr="00416153">
        <w:t>Full list of activity costings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firstRow="1" w:lastRow="0" w:firstColumn="1" w:lastColumn="0" w:noHBand="0" w:noVBand="1"/>
      </w:tblPr>
      <w:tblGrid>
        <w:gridCol w:w="1897"/>
        <w:gridCol w:w="3892"/>
        <w:gridCol w:w="4399"/>
      </w:tblGrid>
      <w:tr w:rsidR="005A75CF" w:rsidRPr="005A75CF" w14:paraId="782C86B1" w14:textId="77777777" w:rsidTr="00B93BF7">
        <w:tc>
          <w:tcPr>
            <w:tcW w:w="0" w:type="auto"/>
            <w:tcBorders>
              <w:bottom w:val="single" w:sz="24" w:space="0" w:color="9FD9DB" w:themeColor="accent4"/>
            </w:tcBorders>
            <w:shd w:val="clear" w:color="auto" w:fill="084054" w:themeFill="accent3"/>
            <w:tcMar>
              <w:top w:w="75" w:type="dxa"/>
              <w:left w:w="75" w:type="dxa"/>
              <w:bottom w:w="75" w:type="dxa"/>
              <w:right w:w="75" w:type="dxa"/>
            </w:tcMar>
            <w:hideMark/>
          </w:tcPr>
          <w:p w14:paraId="1DC99E85" w14:textId="77777777" w:rsidR="005A75CF" w:rsidRPr="005A75CF" w:rsidRDefault="005A75CF" w:rsidP="005A75CF">
            <w:pPr>
              <w:pStyle w:val="ListBullet"/>
              <w:numPr>
                <w:ilvl w:val="0"/>
                <w:numId w:val="0"/>
              </w:numPr>
              <w:rPr>
                <w:rFonts w:cs="Segoe UI"/>
                <w:szCs w:val="20"/>
              </w:rPr>
            </w:pPr>
            <w:r w:rsidRPr="005A75CF">
              <w:rPr>
                <w:rFonts w:cs="Segoe UI"/>
                <w:szCs w:val="20"/>
              </w:rPr>
              <w:t>Compliance cost category</w:t>
            </w:r>
          </w:p>
        </w:tc>
        <w:tc>
          <w:tcPr>
            <w:tcW w:w="0" w:type="auto"/>
            <w:tcBorders>
              <w:bottom w:val="single" w:sz="24" w:space="0" w:color="9FD9DB" w:themeColor="accent4"/>
            </w:tcBorders>
            <w:shd w:val="clear" w:color="auto" w:fill="084054" w:themeFill="accent3"/>
            <w:tcMar>
              <w:top w:w="75" w:type="dxa"/>
              <w:left w:w="75" w:type="dxa"/>
              <w:bottom w:w="75" w:type="dxa"/>
              <w:right w:w="75" w:type="dxa"/>
            </w:tcMar>
            <w:hideMark/>
          </w:tcPr>
          <w:p w14:paraId="5AD31ECB" w14:textId="77777777" w:rsidR="005A75CF" w:rsidRPr="005A75CF" w:rsidRDefault="005A75CF" w:rsidP="005A75CF">
            <w:pPr>
              <w:pStyle w:val="ListBullet"/>
              <w:numPr>
                <w:ilvl w:val="0"/>
                <w:numId w:val="0"/>
              </w:numPr>
              <w:rPr>
                <w:rFonts w:cs="Segoe UI"/>
                <w:szCs w:val="20"/>
              </w:rPr>
            </w:pPr>
            <w:r w:rsidRPr="005A75CF">
              <w:rPr>
                <w:rFonts w:cs="Segoe UI"/>
                <w:szCs w:val="20"/>
              </w:rPr>
              <w:t>Description</w:t>
            </w:r>
          </w:p>
        </w:tc>
        <w:tc>
          <w:tcPr>
            <w:tcW w:w="0" w:type="auto"/>
            <w:tcBorders>
              <w:bottom w:val="single" w:sz="24" w:space="0" w:color="9FD9DB" w:themeColor="accent4"/>
            </w:tcBorders>
            <w:shd w:val="clear" w:color="auto" w:fill="084054" w:themeFill="accent3"/>
            <w:tcMar>
              <w:top w:w="75" w:type="dxa"/>
              <w:left w:w="75" w:type="dxa"/>
              <w:bottom w:w="75" w:type="dxa"/>
              <w:right w:w="75" w:type="dxa"/>
            </w:tcMar>
            <w:hideMark/>
          </w:tcPr>
          <w:p w14:paraId="705140B6" w14:textId="77777777" w:rsidR="005A75CF" w:rsidRPr="005A75CF" w:rsidRDefault="005A75CF" w:rsidP="005A75CF">
            <w:pPr>
              <w:pStyle w:val="ListBullet"/>
              <w:numPr>
                <w:ilvl w:val="0"/>
                <w:numId w:val="0"/>
              </w:numPr>
              <w:rPr>
                <w:rFonts w:cs="Segoe UI"/>
                <w:szCs w:val="20"/>
              </w:rPr>
            </w:pPr>
            <w:r w:rsidRPr="005A75CF">
              <w:rPr>
                <w:rFonts w:cs="Segoe UI"/>
                <w:szCs w:val="20"/>
              </w:rPr>
              <w:t>Example</w:t>
            </w:r>
          </w:p>
        </w:tc>
      </w:tr>
      <w:tr w:rsidR="005A75CF" w:rsidRPr="005A75CF" w14:paraId="59639461" w14:textId="77777777" w:rsidTr="00B93BF7">
        <w:tc>
          <w:tcPr>
            <w:tcW w:w="0" w:type="auto"/>
            <w:tcBorders>
              <w:top w:val="single" w:sz="24" w:space="0" w:color="9FD9DB" w:themeColor="accent4"/>
            </w:tcBorders>
            <w:shd w:val="clear" w:color="auto" w:fill="auto"/>
            <w:tcMar>
              <w:top w:w="75" w:type="dxa"/>
              <w:left w:w="75" w:type="dxa"/>
              <w:bottom w:w="75" w:type="dxa"/>
              <w:right w:w="75" w:type="dxa"/>
            </w:tcMar>
            <w:hideMark/>
          </w:tcPr>
          <w:p w14:paraId="5F3828D0"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Notification</w:t>
            </w:r>
          </w:p>
        </w:tc>
        <w:tc>
          <w:tcPr>
            <w:tcW w:w="0" w:type="auto"/>
            <w:tcBorders>
              <w:top w:val="single" w:sz="24" w:space="0" w:color="9FD9DB" w:themeColor="accent4"/>
            </w:tcBorders>
            <w:shd w:val="clear" w:color="auto" w:fill="auto"/>
            <w:tcMar>
              <w:top w:w="75" w:type="dxa"/>
              <w:left w:w="75" w:type="dxa"/>
              <w:bottom w:w="75" w:type="dxa"/>
              <w:right w:w="75" w:type="dxa"/>
            </w:tcMar>
            <w:hideMark/>
          </w:tcPr>
          <w:p w14:paraId="08829ECA" w14:textId="77777777" w:rsidR="005A75CF" w:rsidRPr="005A75CF" w:rsidRDefault="005A75CF" w:rsidP="00B93BF7">
            <w:pPr>
              <w:pStyle w:val="ListBullet"/>
              <w:numPr>
                <w:ilvl w:val="0"/>
                <w:numId w:val="0"/>
              </w:numPr>
              <w:rPr>
                <w:rFonts w:cs="Segoe UI"/>
                <w:szCs w:val="20"/>
              </w:rPr>
            </w:pPr>
            <w:r w:rsidRPr="005A75CF">
              <w:rPr>
                <w:rFonts w:cs="Segoe UI"/>
                <w:szCs w:val="20"/>
              </w:rPr>
              <w:t>Notification: businesses face costs when they have to report certain events to a regulatory authority, either before or after the event has taken place.</w:t>
            </w:r>
          </w:p>
        </w:tc>
        <w:tc>
          <w:tcPr>
            <w:tcW w:w="0" w:type="auto"/>
            <w:tcBorders>
              <w:top w:val="single" w:sz="24" w:space="0" w:color="9FD9DB" w:themeColor="accent4"/>
            </w:tcBorders>
            <w:shd w:val="clear" w:color="auto" w:fill="auto"/>
            <w:tcMar>
              <w:top w:w="75" w:type="dxa"/>
              <w:left w:w="75" w:type="dxa"/>
              <w:bottom w:w="75" w:type="dxa"/>
              <w:right w:w="75" w:type="dxa"/>
            </w:tcMar>
            <w:hideMark/>
          </w:tcPr>
          <w:p w14:paraId="16125C17"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notify a public authority before they are permitted to sell food.</w:t>
            </w:r>
          </w:p>
        </w:tc>
      </w:tr>
      <w:tr w:rsidR="005A75CF" w:rsidRPr="005A75CF" w14:paraId="28C7AB24" w14:textId="77777777" w:rsidTr="000A1893">
        <w:tc>
          <w:tcPr>
            <w:tcW w:w="0" w:type="auto"/>
            <w:shd w:val="clear" w:color="auto" w:fill="auto"/>
            <w:tcMar>
              <w:top w:w="75" w:type="dxa"/>
              <w:left w:w="75" w:type="dxa"/>
              <w:bottom w:w="75" w:type="dxa"/>
              <w:right w:w="75" w:type="dxa"/>
            </w:tcMar>
            <w:hideMark/>
          </w:tcPr>
          <w:p w14:paraId="5C4025A7"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Education</w:t>
            </w:r>
          </w:p>
        </w:tc>
        <w:tc>
          <w:tcPr>
            <w:tcW w:w="0" w:type="auto"/>
            <w:shd w:val="clear" w:color="auto" w:fill="auto"/>
            <w:tcMar>
              <w:top w:w="75" w:type="dxa"/>
              <w:left w:w="75" w:type="dxa"/>
              <w:bottom w:w="75" w:type="dxa"/>
              <w:right w:w="75" w:type="dxa"/>
            </w:tcMar>
            <w:hideMark/>
          </w:tcPr>
          <w:p w14:paraId="23F15E66" w14:textId="77777777" w:rsidR="005A75CF" w:rsidRPr="005A75CF" w:rsidRDefault="005A75CF" w:rsidP="00B93BF7">
            <w:pPr>
              <w:pStyle w:val="ListBullet"/>
              <w:numPr>
                <w:ilvl w:val="0"/>
                <w:numId w:val="0"/>
              </w:numPr>
              <w:rPr>
                <w:rFonts w:cs="Segoe UI"/>
                <w:szCs w:val="20"/>
              </w:rPr>
            </w:pPr>
            <w:r w:rsidRPr="005A75CF">
              <w:rPr>
                <w:rFonts w:cs="Segoe UI"/>
                <w:szCs w:val="20"/>
              </w:rPr>
              <w:t>Education: businesses face costs when keeping up to date with regulatory requirements.</w:t>
            </w:r>
          </w:p>
        </w:tc>
        <w:tc>
          <w:tcPr>
            <w:tcW w:w="0" w:type="auto"/>
            <w:shd w:val="clear" w:color="auto" w:fill="auto"/>
            <w:tcMar>
              <w:top w:w="75" w:type="dxa"/>
              <w:left w:w="75" w:type="dxa"/>
              <w:bottom w:w="75" w:type="dxa"/>
              <w:right w:w="75" w:type="dxa"/>
            </w:tcMar>
            <w:hideMark/>
          </w:tcPr>
          <w:p w14:paraId="7DBF23A7"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get the details of new legislation and communicate the new requirements to staff.</w:t>
            </w:r>
          </w:p>
        </w:tc>
      </w:tr>
      <w:tr w:rsidR="005A75CF" w:rsidRPr="005A75CF" w14:paraId="666508B5" w14:textId="77777777" w:rsidTr="000A1893">
        <w:tc>
          <w:tcPr>
            <w:tcW w:w="0" w:type="auto"/>
            <w:shd w:val="clear" w:color="auto" w:fill="auto"/>
            <w:tcMar>
              <w:top w:w="75" w:type="dxa"/>
              <w:left w:w="75" w:type="dxa"/>
              <w:bottom w:w="75" w:type="dxa"/>
              <w:right w:w="75" w:type="dxa"/>
            </w:tcMar>
            <w:hideMark/>
          </w:tcPr>
          <w:p w14:paraId="0EFD4618"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Permission</w:t>
            </w:r>
          </w:p>
        </w:tc>
        <w:tc>
          <w:tcPr>
            <w:tcW w:w="0" w:type="auto"/>
            <w:shd w:val="clear" w:color="auto" w:fill="auto"/>
            <w:tcMar>
              <w:top w:w="75" w:type="dxa"/>
              <w:left w:w="75" w:type="dxa"/>
              <w:bottom w:w="75" w:type="dxa"/>
              <w:right w:w="75" w:type="dxa"/>
            </w:tcMar>
            <w:hideMark/>
          </w:tcPr>
          <w:p w14:paraId="2576BB2C" w14:textId="77777777" w:rsidR="005A75CF" w:rsidRPr="005A75CF" w:rsidRDefault="005A75CF" w:rsidP="00B93BF7">
            <w:pPr>
              <w:pStyle w:val="ListBullet"/>
              <w:numPr>
                <w:ilvl w:val="0"/>
                <w:numId w:val="0"/>
              </w:numPr>
              <w:rPr>
                <w:rFonts w:cs="Segoe UI"/>
                <w:szCs w:val="20"/>
              </w:rPr>
            </w:pPr>
            <w:r w:rsidRPr="005A75CF">
              <w:rPr>
                <w:rFonts w:cs="Segoe UI"/>
                <w:szCs w:val="20"/>
              </w:rPr>
              <w:t>Permission: businesses face costs when applying for and maintaining permission to conduct an activity.</w:t>
            </w:r>
          </w:p>
        </w:tc>
        <w:tc>
          <w:tcPr>
            <w:tcW w:w="0" w:type="auto"/>
            <w:shd w:val="clear" w:color="auto" w:fill="auto"/>
            <w:tcMar>
              <w:top w:w="75" w:type="dxa"/>
              <w:left w:w="75" w:type="dxa"/>
              <w:bottom w:w="75" w:type="dxa"/>
              <w:right w:w="75" w:type="dxa"/>
            </w:tcMar>
            <w:hideMark/>
          </w:tcPr>
          <w:p w14:paraId="56F74027"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do a police check before employing staff legally.</w:t>
            </w:r>
          </w:p>
        </w:tc>
      </w:tr>
      <w:tr w:rsidR="005A75CF" w:rsidRPr="005A75CF" w14:paraId="1FBB9923" w14:textId="77777777" w:rsidTr="000A1893">
        <w:tc>
          <w:tcPr>
            <w:tcW w:w="0" w:type="auto"/>
            <w:shd w:val="clear" w:color="auto" w:fill="auto"/>
            <w:tcMar>
              <w:top w:w="75" w:type="dxa"/>
              <w:left w:w="75" w:type="dxa"/>
              <w:bottom w:w="75" w:type="dxa"/>
              <w:right w:w="75" w:type="dxa"/>
            </w:tcMar>
            <w:hideMark/>
          </w:tcPr>
          <w:p w14:paraId="4D0C0136"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Purchasing</w:t>
            </w:r>
          </w:p>
        </w:tc>
        <w:tc>
          <w:tcPr>
            <w:tcW w:w="0" w:type="auto"/>
            <w:shd w:val="clear" w:color="auto" w:fill="auto"/>
            <w:tcMar>
              <w:top w:w="75" w:type="dxa"/>
              <w:left w:w="75" w:type="dxa"/>
              <w:bottom w:w="75" w:type="dxa"/>
              <w:right w:w="75" w:type="dxa"/>
            </w:tcMar>
            <w:hideMark/>
          </w:tcPr>
          <w:p w14:paraId="60975F50" w14:textId="77777777" w:rsidR="005A75CF" w:rsidRPr="005A75CF" w:rsidRDefault="005A75CF" w:rsidP="00B93BF7">
            <w:pPr>
              <w:pStyle w:val="ListBullet"/>
              <w:numPr>
                <w:ilvl w:val="0"/>
                <w:numId w:val="0"/>
              </w:numPr>
              <w:rPr>
                <w:rFonts w:cs="Segoe UI"/>
                <w:szCs w:val="20"/>
              </w:rPr>
            </w:pPr>
            <w:r w:rsidRPr="005A75CF">
              <w:rPr>
                <w:rFonts w:cs="Segoe UI"/>
                <w:szCs w:val="20"/>
              </w:rPr>
              <w:t>Purchasing: businesses face costs when having to purchase a service (advice) or a product (materials or equipment) to comply with a regulation.</w:t>
            </w:r>
          </w:p>
        </w:tc>
        <w:tc>
          <w:tcPr>
            <w:tcW w:w="0" w:type="auto"/>
            <w:shd w:val="clear" w:color="auto" w:fill="auto"/>
            <w:tcMar>
              <w:top w:w="75" w:type="dxa"/>
              <w:left w:w="75" w:type="dxa"/>
              <w:bottom w:w="75" w:type="dxa"/>
              <w:right w:w="75" w:type="dxa"/>
            </w:tcMar>
            <w:hideMark/>
          </w:tcPr>
          <w:p w14:paraId="2A307314"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get legal advice (service), complete a periodic audit (service), have a fire extinguisher onsite (product), purchase environmental offsets or carbon credits (product).</w:t>
            </w:r>
          </w:p>
        </w:tc>
      </w:tr>
      <w:tr w:rsidR="005A75CF" w:rsidRPr="005A75CF" w14:paraId="365EA46D" w14:textId="77777777" w:rsidTr="000A1893">
        <w:tc>
          <w:tcPr>
            <w:tcW w:w="0" w:type="auto"/>
            <w:shd w:val="clear" w:color="auto" w:fill="auto"/>
            <w:tcMar>
              <w:top w:w="75" w:type="dxa"/>
              <w:left w:w="75" w:type="dxa"/>
              <w:bottom w:w="75" w:type="dxa"/>
              <w:right w:w="75" w:type="dxa"/>
            </w:tcMar>
            <w:hideMark/>
          </w:tcPr>
          <w:p w14:paraId="7AEEA981"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Record keeping</w:t>
            </w:r>
          </w:p>
        </w:tc>
        <w:tc>
          <w:tcPr>
            <w:tcW w:w="0" w:type="auto"/>
            <w:shd w:val="clear" w:color="auto" w:fill="auto"/>
            <w:tcMar>
              <w:top w:w="75" w:type="dxa"/>
              <w:left w:w="75" w:type="dxa"/>
              <w:bottom w:w="75" w:type="dxa"/>
              <w:right w:w="75" w:type="dxa"/>
            </w:tcMar>
            <w:hideMark/>
          </w:tcPr>
          <w:p w14:paraId="30E9B93E" w14:textId="77777777" w:rsidR="005A75CF" w:rsidRPr="005A75CF" w:rsidRDefault="005A75CF" w:rsidP="00B93BF7">
            <w:pPr>
              <w:pStyle w:val="ListBullet"/>
              <w:numPr>
                <w:ilvl w:val="0"/>
                <w:numId w:val="0"/>
              </w:numPr>
              <w:rPr>
                <w:rFonts w:cs="Segoe UI"/>
                <w:szCs w:val="20"/>
              </w:rPr>
            </w:pPr>
            <w:r w:rsidRPr="005A75CF">
              <w:rPr>
                <w:rFonts w:cs="Segoe UI"/>
                <w:szCs w:val="20"/>
              </w:rPr>
              <w:t>Record keeping: businesses face costs to keep statutory documents up to date.</w:t>
            </w:r>
          </w:p>
        </w:tc>
        <w:tc>
          <w:tcPr>
            <w:tcW w:w="0" w:type="auto"/>
            <w:shd w:val="clear" w:color="auto" w:fill="auto"/>
            <w:tcMar>
              <w:top w:w="75" w:type="dxa"/>
              <w:left w:w="75" w:type="dxa"/>
              <w:bottom w:w="75" w:type="dxa"/>
              <w:right w:w="75" w:type="dxa"/>
            </w:tcMar>
            <w:hideMark/>
          </w:tcPr>
          <w:p w14:paraId="11745146"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keep records of accidents that happen at their workplace.</w:t>
            </w:r>
          </w:p>
        </w:tc>
      </w:tr>
      <w:tr w:rsidR="005A75CF" w:rsidRPr="005A75CF" w14:paraId="46C4C235" w14:textId="77777777" w:rsidTr="000A1893">
        <w:tc>
          <w:tcPr>
            <w:tcW w:w="0" w:type="auto"/>
            <w:shd w:val="clear" w:color="auto" w:fill="auto"/>
            <w:tcMar>
              <w:top w:w="75" w:type="dxa"/>
              <w:left w:w="75" w:type="dxa"/>
              <w:bottom w:w="75" w:type="dxa"/>
              <w:right w:w="75" w:type="dxa"/>
            </w:tcMar>
            <w:hideMark/>
          </w:tcPr>
          <w:p w14:paraId="67D6B3B3"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Enforcement</w:t>
            </w:r>
          </w:p>
        </w:tc>
        <w:tc>
          <w:tcPr>
            <w:tcW w:w="0" w:type="auto"/>
            <w:shd w:val="clear" w:color="auto" w:fill="auto"/>
            <w:tcMar>
              <w:top w:w="75" w:type="dxa"/>
              <w:left w:w="75" w:type="dxa"/>
              <w:bottom w:w="75" w:type="dxa"/>
              <w:right w:w="75" w:type="dxa"/>
            </w:tcMar>
            <w:hideMark/>
          </w:tcPr>
          <w:p w14:paraId="32B8CC85" w14:textId="77777777" w:rsidR="005A75CF" w:rsidRPr="005A75CF" w:rsidRDefault="005A75CF" w:rsidP="00B93BF7">
            <w:pPr>
              <w:pStyle w:val="ListBullet"/>
              <w:numPr>
                <w:ilvl w:val="0"/>
                <w:numId w:val="0"/>
              </w:numPr>
              <w:rPr>
                <w:rFonts w:cs="Segoe UI"/>
                <w:szCs w:val="20"/>
              </w:rPr>
            </w:pPr>
            <w:r w:rsidRPr="005A75CF">
              <w:rPr>
                <w:rFonts w:cs="Segoe UI"/>
                <w:szCs w:val="20"/>
              </w:rPr>
              <w:t>Enforcement: businesses face costs when cooperating with audits, inspections and regulatory enforcement activities.</w:t>
            </w:r>
            <w:r w:rsidRPr="005A75CF">
              <w:rPr>
                <w:rStyle w:val="FootnoteReference"/>
                <w:rFonts w:cs="Segoe UI"/>
                <w:szCs w:val="20"/>
              </w:rPr>
              <w:footnoteReference w:id="6"/>
            </w:r>
          </w:p>
        </w:tc>
        <w:tc>
          <w:tcPr>
            <w:tcW w:w="0" w:type="auto"/>
            <w:shd w:val="clear" w:color="auto" w:fill="auto"/>
            <w:tcMar>
              <w:top w:w="75" w:type="dxa"/>
              <w:left w:w="75" w:type="dxa"/>
              <w:bottom w:w="75" w:type="dxa"/>
              <w:right w:w="75" w:type="dxa"/>
            </w:tcMar>
            <w:hideMark/>
          </w:tcPr>
          <w:p w14:paraId="768AD2C5"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supervise a government inspector when the inspector checks whether a business meets non-smoking laws.</w:t>
            </w:r>
          </w:p>
        </w:tc>
      </w:tr>
      <w:tr w:rsidR="005A75CF" w:rsidRPr="005A75CF" w14:paraId="409A8C26" w14:textId="77777777" w:rsidTr="000A1893">
        <w:tc>
          <w:tcPr>
            <w:tcW w:w="0" w:type="auto"/>
            <w:shd w:val="clear" w:color="auto" w:fill="auto"/>
            <w:tcMar>
              <w:top w:w="75" w:type="dxa"/>
              <w:left w:w="75" w:type="dxa"/>
              <w:bottom w:w="75" w:type="dxa"/>
              <w:right w:w="75" w:type="dxa"/>
            </w:tcMar>
            <w:hideMark/>
          </w:tcPr>
          <w:p w14:paraId="055B41CD"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Publication and documentation</w:t>
            </w:r>
          </w:p>
        </w:tc>
        <w:tc>
          <w:tcPr>
            <w:tcW w:w="0" w:type="auto"/>
            <w:shd w:val="clear" w:color="auto" w:fill="auto"/>
            <w:tcMar>
              <w:top w:w="75" w:type="dxa"/>
              <w:left w:w="75" w:type="dxa"/>
              <w:bottom w:w="75" w:type="dxa"/>
              <w:right w:w="75" w:type="dxa"/>
            </w:tcMar>
            <w:hideMark/>
          </w:tcPr>
          <w:p w14:paraId="18F80115" w14:textId="77777777" w:rsidR="005A75CF" w:rsidRPr="005A75CF" w:rsidRDefault="005A75CF" w:rsidP="00B93BF7">
            <w:pPr>
              <w:pStyle w:val="ListBullet"/>
              <w:numPr>
                <w:ilvl w:val="0"/>
                <w:numId w:val="0"/>
              </w:numPr>
              <w:rPr>
                <w:rFonts w:cs="Segoe UI"/>
                <w:szCs w:val="20"/>
              </w:rPr>
            </w:pPr>
            <w:r w:rsidRPr="005A75CF">
              <w:rPr>
                <w:rFonts w:cs="Segoe UI"/>
                <w:szCs w:val="20"/>
              </w:rPr>
              <w:t>Publication and documentation: businesses face costs when having to produce documents for third parties.</w:t>
            </w:r>
          </w:p>
        </w:tc>
        <w:tc>
          <w:tcPr>
            <w:tcW w:w="0" w:type="auto"/>
            <w:shd w:val="clear" w:color="auto" w:fill="auto"/>
            <w:tcMar>
              <w:top w:w="75" w:type="dxa"/>
              <w:left w:w="75" w:type="dxa"/>
              <w:bottom w:w="75" w:type="dxa"/>
              <w:right w:w="75" w:type="dxa"/>
            </w:tcMar>
            <w:hideMark/>
          </w:tcPr>
          <w:p w14:paraId="7D4E5186"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display warning signs around dangerous equipment, or a sign at the entrance to home-based business premises.</w:t>
            </w:r>
          </w:p>
        </w:tc>
      </w:tr>
      <w:tr w:rsidR="005A75CF" w:rsidRPr="005A75CF" w14:paraId="720D87D5" w14:textId="77777777" w:rsidTr="000A1893">
        <w:tc>
          <w:tcPr>
            <w:tcW w:w="0" w:type="auto"/>
            <w:shd w:val="clear" w:color="auto" w:fill="auto"/>
            <w:tcMar>
              <w:top w:w="75" w:type="dxa"/>
              <w:left w:w="75" w:type="dxa"/>
              <w:bottom w:w="75" w:type="dxa"/>
              <w:right w:w="75" w:type="dxa"/>
            </w:tcMar>
            <w:hideMark/>
          </w:tcPr>
          <w:p w14:paraId="03FF5B0F"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Procedural</w:t>
            </w:r>
          </w:p>
        </w:tc>
        <w:tc>
          <w:tcPr>
            <w:tcW w:w="0" w:type="auto"/>
            <w:shd w:val="clear" w:color="auto" w:fill="auto"/>
            <w:tcMar>
              <w:top w:w="75" w:type="dxa"/>
              <w:left w:w="75" w:type="dxa"/>
              <w:bottom w:w="75" w:type="dxa"/>
              <w:right w:w="75" w:type="dxa"/>
            </w:tcMar>
            <w:hideMark/>
          </w:tcPr>
          <w:p w14:paraId="76550C56" w14:textId="77777777" w:rsidR="005A75CF" w:rsidRPr="005A75CF" w:rsidRDefault="005A75CF" w:rsidP="00B93BF7">
            <w:pPr>
              <w:pStyle w:val="ListBullet"/>
              <w:numPr>
                <w:ilvl w:val="0"/>
                <w:numId w:val="0"/>
              </w:numPr>
              <w:rPr>
                <w:rFonts w:cs="Segoe UI"/>
                <w:szCs w:val="20"/>
              </w:rPr>
            </w:pPr>
            <w:r w:rsidRPr="005A75CF">
              <w:rPr>
                <w:rFonts w:cs="Segoe UI"/>
                <w:szCs w:val="20"/>
              </w:rPr>
              <w:t>Procedural: businesses face non-administrative costs imposed by some regulations.</w:t>
            </w:r>
          </w:p>
        </w:tc>
        <w:tc>
          <w:tcPr>
            <w:tcW w:w="0" w:type="auto"/>
            <w:shd w:val="clear" w:color="auto" w:fill="auto"/>
            <w:tcMar>
              <w:top w:w="75" w:type="dxa"/>
              <w:left w:w="75" w:type="dxa"/>
              <w:bottom w:w="75" w:type="dxa"/>
              <w:right w:w="75" w:type="dxa"/>
            </w:tcMar>
            <w:hideMark/>
          </w:tcPr>
          <w:p w14:paraId="37C740CB"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conduct a fire safety drill several times a year.</w:t>
            </w:r>
          </w:p>
        </w:tc>
      </w:tr>
      <w:tr w:rsidR="005A75CF" w:rsidRPr="005A75CF" w14:paraId="02B6F53C" w14:textId="77777777" w:rsidTr="000A1893">
        <w:tc>
          <w:tcPr>
            <w:tcW w:w="0" w:type="auto"/>
            <w:shd w:val="clear" w:color="auto" w:fill="auto"/>
            <w:tcMar>
              <w:top w:w="75" w:type="dxa"/>
              <w:left w:w="75" w:type="dxa"/>
              <w:bottom w:w="75" w:type="dxa"/>
              <w:right w:w="75" w:type="dxa"/>
            </w:tcMar>
            <w:hideMark/>
          </w:tcPr>
          <w:p w14:paraId="0C20D94A"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Delay</w:t>
            </w:r>
          </w:p>
        </w:tc>
        <w:tc>
          <w:tcPr>
            <w:tcW w:w="0" w:type="auto"/>
            <w:shd w:val="clear" w:color="auto" w:fill="auto"/>
            <w:tcMar>
              <w:top w:w="75" w:type="dxa"/>
              <w:left w:w="75" w:type="dxa"/>
              <w:bottom w:w="75" w:type="dxa"/>
              <w:right w:w="75" w:type="dxa"/>
            </w:tcMar>
            <w:hideMark/>
          </w:tcPr>
          <w:p w14:paraId="633C965E" w14:textId="77777777" w:rsidR="005A75CF" w:rsidRPr="005A75CF" w:rsidRDefault="005A75CF" w:rsidP="00B93BF7">
            <w:pPr>
              <w:pStyle w:val="ListBullet"/>
              <w:numPr>
                <w:ilvl w:val="0"/>
                <w:numId w:val="0"/>
              </w:numPr>
              <w:rPr>
                <w:rFonts w:cs="Segoe UI"/>
                <w:szCs w:val="20"/>
              </w:rPr>
            </w:pPr>
            <w:r w:rsidRPr="005A75CF">
              <w:rPr>
                <w:rFonts w:cs="Segoe UI"/>
                <w:szCs w:val="20"/>
              </w:rPr>
              <w:t>Delay: businesses face costs when administrative delays result in expenses and loss of income.</w:t>
            </w:r>
          </w:p>
        </w:tc>
        <w:tc>
          <w:tcPr>
            <w:tcW w:w="0" w:type="auto"/>
            <w:shd w:val="clear" w:color="auto" w:fill="auto"/>
            <w:tcMar>
              <w:top w:w="75" w:type="dxa"/>
              <w:left w:w="75" w:type="dxa"/>
              <w:bottom w:w="75" w:type="dxa"/>
              <w:right w:w="75" w:type="dxa"/>
            </w:tcMar>
            <w:hideMark/>
          </w:tcPr>
          <w:p w14:paraId="26616D9D" w14:textId="77777777" w:rsidR="005A75CF" w:rsidRPr="005A75CF" w:rsidRDefault="005A75CF" w:rsidP="00B93BF7">
            <w:pPr>
              <w:pStyle w:val="ListBullet"/>
              <w:numPr>
                <w:ilvl w:val="0"/>
                <w:numId w:val="0"/>
              </w:numPr>
              <w:rPr>
                <w:rFonts w:cs="Segoe UI"/>
                <w:szCs w:val="20"/>
              </w:rPr>
            </w:pPr>
            <w:r w:rsidRPr="005A75CF">
              <w:rPr>
                <w:rFonts w:cs="Segoe UI"/>
                <w:szCs w:val="20"/>
              </w:rPr>
              <w:t>A business needs to wait for an application to be approved before it can begin trading, causing it to forgo the opportunity to earn profits in that time</w:t>
            </w:r>
          </w:p>
        </w:tc>
      </w:tr>
      <w:tr w:rsidR="005A75CF" w:rsidRPr="005A75CF" w14:paraId="0ABDBDFF" w14:textId="77777777" w:rsidTr="000A1893">
        <w:tc>
          <w:tcPr>
            <w:tcW w:w="0" w:type="auto"/>
            <w:shd w:val="clear" w:color="auto" w:fill="auto"/>
            <w:tcMar>
              <w:top w:w="75" w:type="dxa"/>
              <w:left w:w="75" w:type="dxa"/>
              <w:bottom w:w="75" w:type="dxa"/>
              <w:right w:w="75" w:type="dxa"/>
            </w:tcMar>
            <w:hideMark/>
          </w:tcPr>
          <w:p w14:paraId="3FEAA011" w14:textId="77777777" w:rsidR="005A75CF" w:rsidRPr="00B93BF7" w:rsidRDefault="005A75CF" w:rsidP="005A75CF">
            <w:pPr>
              <w:pStyle w:val="ListBullet"/>
              <w:numPr>
                <w:ilvl w:val="0"/>
                <w:numId w:val="0"/>
              </w:numPr>
              <w:rPr>
                <w:rFonts w:cs="Segoe UI"/>
                <w:b/>
                <w:bCs/>
                <w:szCs w:val="20"/>
              </w:rPr>
            </w:pPr>
            <w:r w:rsidRPr="00B93BF7">
              <w:rPr>
                <w:rFonts w:cs="Segoe UI"/>
                <w:b/>
                <w:bCs/>
                <w:szCs w:val="20"/>
              </w:rPr>
              <w:t>Other</w:t>
            </w:r>
          </w:p>
        </w:tc>
        <w:tc>
          <w:tcPr>
            <w:tcW w:w="0" w:type="auto"/>
            <w:shd w:val="clear" w:color="auto" w:fill="auto"/>
            <w:tcMar>
              <w:top w:w="75" w:type="dxa"/>
              <w:left w:w="75" w:type="dxa"/>
              <w:bottom w:w="75" w:type="dxa"/>
              <w:right w:w="75" w:type="dxa"/>
            </w:tcMar>
            <w:hideMark/>
          </w:tcPr>
          <w:p w14:paraId="270B7888" w14:textId="77777777" w:rsidR="005A75CF" w:rsidRPr="005A75CF" w:rsidRDefault="005A75CF" w:rsidP="00B93BF7">
            <w:pPr>
              <w:pStyle w:val="ListBullet"/>
              <w:numPr>
                <w:ilvl w:val="0"/>
                <w:numId w:val="0"/>
              </w:numPr>
              <w:rPr>
                <w:rFonts w:cs="Segoe UI"/>
                <w:szCs w:val="20"/>
              </w:rPr>
            </w:pPr>
            <w:r w:rsidRPr="005A75CF">
              <w:rPr>
                <w:rFonts w:cs="Segoe UI"/>
                <w:szCs w:val="20"/>
              </w:rPr>
              <w:t>Other: any other direct compliance cost faced by business that doesn't fit into one of the above categories.</w:t>
            </w:r>
          </w:p>
        </w:tc>
        <w:tc>
          <w:tcPr>
            <w:tcW w:w="0" w:type="auto"/>
            <w:shd w:val="clear" w:color="auto" w:fill="auto"/>
            <w:tcMar>
              <w:top w:w="75" w:type="dxa"/>
              <w:left w:w="75" w:type="dxa"/>
              <w:bottom w:w="75" w:type="dxa"/>
              <w:right w:w="75" w:type="dxa"/>
            </w:tcMar>
            <w:hideMark/>
          </w:tcPr>
          <w:p w14:paraId="7E1BC767" w14:textId="77777777" w:rsidR="005A75CF" w:rsidRPr="005A75CF" w:rsidRDefault="005A75CF" w:rsidP="005A75CF">
            <w:pPr>
              <w:pStyle w:val="ListBullet"/>
              <w:numPr>
                <w:ilvl w:val="0"/>
                <w:numId w:val="0"/>
              </w:numPr>
              <w:ind w:left="1080"/>
              <w:rPr>
                <w:rFonts w:cs="Segoe UI"/>
                <w:szCs w:val="20"/>
              </w:rPr>
            </w:pPr>
            <w:r w:rsidRPr="005A75CF">
              <w:rPr>
                <w:rFonts w:cs="Segoe UI"/>
                <w:szCs w:val="20"/>
              </w:rPr>
              <w:t> </w:t>
            </w:r>
          </w:p>
        </w:tc>
      </w:tr>
    </w:tbl>
    <w:p w14:paraId="304565AA" w14:textId="5BF0DD12" w:rsidR="005A75CF" w:rsidRDefault="005A75CF" w:rsidP="00F3000A">
      <w:pPr>
        <w:pStyle w:val="ListBullet"/>
        <w:numPr>
          <w:ilvl w:val="0"/>
          <w:numId w:val="0"/>
        </w:numPr>
        <w:rPr>
          <w:rFonts w:asciiTheme="majorHAnsi" w:eastAsiaTheme="majorEastAsia" w:hAnsiTheme="majorHAnsi" w:cstheme="majorBidi"/>
          <w:color w:val="449EAE" w:themeColor="accent1" w:themeShade="BF"/>
          <w:sz w:val="40"/>
          <w:szCs w:val="40"/>
        </w:rPr>
      </w:pPr>
      <w:r w:rsidRPr="00B93BF7">
        <w:rPr>
          <w:rFonts w:cs="Segoe UI"/>
          <w:sz w:val="16"/>
          <w:szCs w:val="16"/>
        </w:rPr>
        <w:t>Note: With the exception of delay costs, direct compliance costs do not include opportunity costs.</w:t>
      </w:r>
      <w:r>
        <w:br w:type="page"/>
      </w:r>
    </w:p>
    <w:p w14:paraId="119513CC" w14:textId="61F933CF" w:rsidR="005A75CF" w:rsidRPr="002F5810" w:rsidRDefault="005A75CF" w:rsidP="00B93BF7">
      <w:pPr>
        <w:pStyle w:val="Heading2"/>
      </w:pPr>
      <w:r>
        <w:lastRenderedPageBreak/>
        <w:t>Appendix 2: Screenshots for simplified calculator</w:t>
      </w:r>
    </w:p>
    <w:p w14:paraId="1F2531D5" w14:textId="77777777" w:rsidR="005A75CF" w:rsidRDefault="005A75CF" w:rsidP="004F609F">
      <w:pPr>
        <w:pStyle w:val="Heading4"/>
      </w:pPr>
      <w:r w:rsidRPr="00455676">
        <w:t>Inputs sheet</w:t>
      </w:r>
      <w:r>
        <w:t xml:space="preserve"> in Simplified Direct Costs Calculator</w:t>
      </w:r>
    </w:p>
    <w:p w14:paraId="70F57F1C" w14:textId="77777777" w:rsidR="005A75CF" w:rsidRDefault="005A75CF" w:rsidP="005A75CF">
      <w:pPr>
        <w:pStyle w:val="TableListBullet"/>
        <w:numPr>
          <w:ilvl w:val="0"/>
          <w:numId w:val="0"/>
        </w:numPr>
        <w:ind w:left="357" w:hanging="357"/>
        <w:jc w:val="center"/>
      </w:pPr>
      <w:r>
        <w:rPr>
          <w:noProof/>
        </w:rPr>
        <w:drawing>
          <wp:inline distT="0" distB="0" distL="0" distR="0" wp14:anchorId="405BD2DC" wp14:editId="192B81C6">
            <wp:extent cx="4908907" cy="4521855"/>
            <wp:effectExtent l="0" t="0" r="6350" b="0"/>
            <wp:docPr id="2"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5283" cy="4564575"/>
                    </a:xfrm>
                    <a:prstGeom prst="rect">
                      <a:avLst/>
                    </a:prstGeom>
                    <a:noFill/>
                    <a:ln>
                      <a:noFill/>
                    </a:ln>
                  </pic:spPr>
                </pic:pic>
              </a:graphicData>
            </a:graphic>
          </wp:inline>
        </w:drawing>
      </w:r>
    </w:p>
    <w:p w14:paraId="151A40FF" w14:textId="77777777" w:rsidR="005A75CF" w:rsidRPr="00E80445" w:rsidRDefault="005A75CF" w:rsidP="004F609F">
      <w:pPr>
        <w:pStyle w:val="Heading4"/>
      </w:pPr>
      <w:r w:rsidRPr="00E80445">
        <w:t>Summaries sheet</w:t>
      </w:r>
      <w:r w:rsidRPr="009207E1">
        <w:t xml:space="preserve"> </w:t>
      </w:r>
      <w:r>
        <w:t>in Simplified Direct Costs Calculator</w:t>
      </w:r>
    </w:p>
    <w:p w14:paraId="52B2362F" w14:textId="17C7DE1E" w:rsidR="00076A10" w:rsidRPr="0071310A" w:rsidRDefault="005A75CF" w:rsidP="004F609F">
      <w:pPr>
        <w:pStyle w:val="TableListBullet"/>
        <w:numPr>
          <w:ilvl w:val="0"/>
          <w:numId w:val="0"/>
        </w:numPr>
        <w:ind w:left="357" w:hanging="357"/>
        <w:jc w:val="center"/>
      </w:pPr>
      <w:r>
        <w:rPr>
          <w:noProof/>
        </w:rPr>
        <w:drawing>
          <wp:inline distT="0" distB="0" distL="0" distR="0" wp14:anchorId="47951DE9" wp14:editId="043273BF">
            <wp:extent cx="4045066" cy="3466214"/>
            <wp:effectExtent l="0" t="0" r="0" b="1270"/>
            <wp:docPr id="3" name="Picture 3" descr="A screenshot of a spread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spreadsheet&#10;&#10;AI-generated content may be incorrect."/>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154" t="2769" r="7496" b="10161"/>
                    <a:stretch/>
                  </pic:blipFill>
                  <pic:spPr bwMode="auto">
                    <a:xfrm>
                      <a:off x="0" y="0"/>
                      <a:ext cx="4068633" cy="3486408"/>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sectPr w:rsidR="00076A10" w:rsidRPr="0071310A" w:rsidSect="00F3000A">
      <w:headerReference w:type="default" r:id="rId15"/>
      <w:footerReference w:type="default" r:id="rId16"/>
      <w:pgSz w:w="11906" w:h="16838" w:code="9"/>
      <w:pgMar w:top="1552" w:right="851" w:bottom="1135" w:left="851" w:header="340"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1811" w14:textId="77777777" w:rsidR="002A5041" w:rsidRDefault="002A5041" w:rsidP="00076A10">
      <w:pPr>
        <w:spacing w:after="0"/>
      </w:pPr>
      <w:r>
        <w:separator/>
      </w:r>
    </w:p>
  </w:endnote>
  <w:endnote w:type="continuationSeparator" w:id="0">
    <w:p w14:paraId="631EDC0B" w14:textId="77777777" w:rsidR="002A5041" w:rsidRDefault="002A5041" w:rsidP="00076A10">
      <w:pPr>
        <w:spacing w:after="0"/>
      </w:pPr>
      <w:r>
        <w:continuationSeparator/>
      </w:r>
    </w:p>
  </w:endnote>
  <w:endnote w:type="continuationNotice" w:id="1">
    <w:p w14:paraId="58B4E299" w14:textId="77777777" w:rsidR="002A5041" w:rsidRDefault="002A50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6802"/>
      <w:gridCol w:w="3402"/>
    </w:tblGrid>
    <w:tr w:rsidR="00914AA1" w14:paraId="39517DD5" w14:textId="77777777" w:rsidTr="00472111">
      <w:tc>
        <w:tcPr>
          <w:tcW w:w="3333" w:type="pct"/>
        </w:tcPr>
        <w:p w14:paraId="27F4A22F" w14:textId="2A9FAE11" w:rsidR="00671452" w:rsidRPr="00DA212F" w:rsidRDefault="005A75CF" w:rsidP="00914AA1">
          <w:pPr>
            <w:pStyle w:val="Footer"/>
          </w:pPr>
          <w:r>
            <w:t xml:space="preserve">Office of Best Practice Regulation </w:t>
          </w:r>
        </w:p>
      </w:tc>
      <w:tc>
        <w:tcPr>
          <w:tcW w:w="1667" w:type="pct"/>
          <w:vAlign w:val="bottom"/>
        </w:tcPr>
        <w:p w14:paraId="6EFEA01D" w14:textId="77C3BA8C" w:rsidR="00671452" w:rsidRPr="00DA212F" w:rsidRDefault="00820012" w:rsidP="00914AA1">
          <w:pPr>
            <w:pStyle w:val="Footer"/>
            <w:jc w:val="right"/>
          </w:pPr>
          <w:r>
            <w:t xml:space="preserve">Last updated: </w:t>
          </w:r>
          <w:sdt>
            <w:sdtPr>
              <w:id w:val="-111294393"/>
              <w:placeholder>
                <w:docPart w:val="DefaultPlaceholder_-1854013437"/>
              </w:placeholder>
              <w:date w:fullDate="2025-03-12T00:00:00Z">
                <w:dateFormat w:val="d/MM/yyyy"/>
                <w:lid w:val="en-AU"/>
                <w:storeMappedDataAs w:val="dateTime"/>
                <w:calendar w:val="gregorian"/>
              </w:date>
            </w:sdtPr>
            <w:sdtEndPr/>
            <w:sdtContent>
              <w:r>
                <w:t>12/03/2025</w:t>
              </w:r>
            </w:sdtContent>
          </w:sdt>
        </w:p>
      </w:tc>
    </w:tr>
  </w:tbl>
  <w:p w14:paraId="0655339E" w14:textId="77777777" w:rsidR="00671452" w:rsidRDefault="00671452" w:rsidP="00C81DF2">
    <w:pPr>
      <w:pStyle w:val="Footer"/>
    </w:pPr>
  </w:p>
  <w:p w14:paraId="0DA9E2B5" w14:textId="77777777" w:rsidR="00671452" w:rsidRPr="00C81DF2" w:rsidRDefault="00671452" w:rsidP="00C81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B2A31" w14:textId="77777777" w:rsidR="002A5041" w:rsidRDefault="002A5041" w:rsidP="00076A10">
      <w:pPr>
        <w:spacing w:after="0"/>
      </w:pPr>
      <w:r>
        <w:separator/>
      </w:r>
    </w:p>
  </w:footnote>
  <w:footnote w:type="continuationSeparator" w:id="0">
    <w:p w14:paraId="689A694A" w14:textId="77777777" w:rsidR="002A5041" w:rsidRDefault="002A5041" w:rsidP="00076A10">
      <w:pPr>
        <w:spacing w:after="0"/>
      </w:pPr>
      <w:r>
        <w:continuationSeparator/>
      </w:r>
    </w:p>
  </w:footnote>
  <w:footnote w:type="continuationNotice" w:id="1">
    <w:p w14:paraId="7C35BE18" w14:textId="77777777" w:rsidR="002A5041" w:rsidRDefault="002A5041">
      <w:pPr>
        <w:spacing w:after="0"/>
      </w:pPr>
    </w:p>
  </w:footnote>
  <w:footnote w:id="2">
    <w:p w14:paraId="7DFD7783" w14:textId="77777777" w:rsidR="005A75CF" w:rsidRDefault="005A75CF" w:rsidP="005A75CF">
      <w:pPr>
        <w:pStyle w:val="FootnoteText"/>
      </w:pPr>
      <w:r>
        <w:rPr>
          <w:rStyle w:val="FootnoteReference"/>
        </w:rPr>
        <w:footnoteRef/>
      </w:r>
      <w:r>
        <w:t xml:space="preserve"> </w:t>
      </w:r>
      <w:r w:rsidRPr="00D353E2">
        <w:t>Th</w:t>
      </w:r>
      <w:r>
        <w:t>is</w:t>
      </w:r>
      <w:r w:rsidRPr="00D353E2">
        <w:t xml:space="preserve"> guidance note is for background purposes only; Queensland agencies should disregard any references to Commonwealth policies, templates or reporting requirements</w:t>
      </w:r>
    </w:p>
  </w:footnote>
  <w:footnote w:id="3">
    <w:p w14:paraId="7FDED359" w14:textId="77777777" w:rsidR="005A75CF" w:rsidRDefault="005A75CF" w:rsidP="005A75CF">
      <w:pPr>
        <w:pStyle w:val="FootnoteText"/>
      </w:pPr>
      <w:r>
        <w:rPr>
          <w:rStyle w:val="FootnoteReference"/>
        </w:rPr>
        <w:footnoteRef/>
      </w:r>
      <w:r>
        <w:t xml:space="preserve"> A discount rate converts expected future cash flows into a present value to enable comparison at a single point in time. For further information on discount rates, please refer to Section B3 of Queensland Treasury’s cost-benefit analysis guidance materials for the Project Assessment Framework (</w:t>
      </w:r>
      <w:hyperlink r:id="rId1" w:history="1">
        <w:r w:rsidRPr="000864DF">
          <w:rPr>
            <w:rStyle w:val="Hyperlink"/>
          </w:rPr>
          <w:t>https://s3.treasury.qld.gov.au/files/paf-cost-benefit-analysis.pdf</w:t>
        </w:r>
      </w:hyperlink>
      <w:r>
        <w:t>)</w:t>
      </w:r>
    </w:p>
  </w:footnote>
  <w:footnote w:id="4">
    <w:p w14:paraId="225EF9CA" w14:textId="77777777" w:rsidR="005A75CF" w:rsidRDefault="005A75CF" w:rsidP="005A75CF">
      <w:pPr>
        <w:pStyle w:val="FootnoteText"/>
      </w:pPr>
      <w:r>
        <w:rPr>
          <w:rStyle w:val="FootnoteReference"/>
        </w:rPr>
        <w:footnoteRef/>
      </w:r>
      <w:r>
        <w:t xml:space="preserve"> Sensitivity analysis examines how financial and economic outcomes change when specific assumptions are adjusted. For further information on sensitivity analysis, please refer: </w:t>
      </w:r>
      <w:hyperlink r:id="rId2" w:history="1">
        <w:r w:rsidRPr="000864DF">
          <w:rPr>
            <w:rStyle w:val="Hyperlink"/>
          </w:rPr>
          <w:t>https://s3.treasury.qld.gov.au/files/paf-cost-benefit-analysis.pdf</w:t>
        </w:r>
      </w:hyperlink>
    </w:p>
  </w:footnote>
  <w:footnote w:id="5">
    <w:p w14:paraId="30A188FC" w14:textId="77777777" w:rsidR="005A75CF" w:rsidRDefault="005A75CF" w:rsidP="005A75CF">
      <w:pPr>
        <w:pStyle w:val="FootnoteText"/>
      </w:pPr>
      <w:r>
        <w:rPr>
          <w:rStyle w:val="FootnoteReference"/>
        </w:rPr>
        <w:footnoteRef/>
      </w:r>
      <w:r>
        <w:t xml:space="preserve"> Cells that do not require editing will be locked, but the user will be able to unprotect the sheet without requiring a password.</w:t>
      </w:r>
    </w:p>
  </w:footnote>
  <w:footnote w:id="6">
    <w:p w14:paraId="4010F3C7" w14:textId="77777777" w:rsidR="005A75CF" w:rsidRDefault="005A75CF" w:rsidP="005A75CF">
      <w:pPr>
        <w:pStyle w:val="FootnoteText"/>
      </w:pPr>
      <w:r>
        <w:rPr>
          <w:rStyle w:val="FootnoteReference"/>
        </w:rPr>
        <w:footnoteRef/>
      </w:r>
      <w:r>
        <w:t xml:space="preserve"> Enforcement activities</w:t>
      </w:r>
      <w:r w:rsidRPr="008C7DF7">
        <w:t xml:space="preserve"> assume full compliance with the</w:t>
      </w:r>
      <w:r>
        <w:t xml:space="preserve"> proposed</w:t>
      </w:r>
      <w:r w:rsidRPr="008C7DF7">
        <w:t xml:space="preserve"> regulation</w:t>
      </w:r>
      <w:r>
        <w:t>.</w:t>
      </w:r>
      <w:r w:rsidRPr="008C7DF7">
        <w:t xml:space="preserve"> </w:t>
      </w:r>
      <w:r>
        <w:t>The direct</w:t>
      </w:r>
      <w:r w:rsidRPr="008C7DF7">
        <w:t xml:space="preserve"> </w:t>
      </w:r>
      <w:r>
        <w:t>cost calculator does not account for</w:t>
      </w:r>
      <w:r w:rsidRPr="008C7DF7">
        <w:t xml:space="preserve"> penalties or legal enforcement </w:t>
      </w:r>
      <w:r>
        <w:t>due to non-compliance</w:t>
      </w:r>
      <w:r w:rsidRPr="008C7DF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1CAF2" w14:textId="7BC7142B" w:rsidR="004F609F" w:rsidRDefault="004F609F">
    <w:r>
      <w:rPr>
        <w:noProof/>
        <w14:ligatures w14:val="standardContextual"/>
      </w:rPr>
      <w:drawing>
        <wp:anchor distT="0" distB="0" distL="114300" distR="114300" simplePos="0" relativeHeight="251658240" behindDoc="0" locked="0" layoutInCell="1" allowOverlap="1" wp14:anchorId="595B0E46" wp14:editId="5C0762E3">
          <wp:simplePos x="0" y="0"/>
          <wp:positionH relativeFrom="column">
            <wp:posOffset>-194120</wp:posOffset>
          </wp:positionH>
          <wp:positionV relativeFrom="paragraph">
            <wp:posOffset>-179705</wp:posOffset>
          </wp:positionV>
          <wp:extent cx="2245938" cy="1040648"/>
          <wp:effectExtent l="0" t="0" r="0" b="0"/>
          <wp:wrapNone/>
          <wp:docPr id="1769422644" name="Picture 2" descr="A logo with blue and whit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21850" name="Picture 2" descr="A logo with blue and white letter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45938" cy="1040648"/>
                  </a:xfrm>
                  <a:prstGeom prst="rect">
                    <a:avLst/>
                  </a:prstGeom>
                </pic:spPr>
              </pic:pic>
            </a:graphicData>
          </a:graphic>
          <wp14:sizeRelH relativeFrom="margin">
            <wp14:pctWidth>0</wp14:pctWidth>
          </wp14:sizeRelH>
          <wp14:sizeRelV relativeFrom="margin">
            <wp14:pctHeight>0</wp14:pctHeight>
          </wp14:sizeRelV>
        </wp:anchor>
      </w:drawing>
    </w:r>
  </w:p>
  <w:p w14:paraId="0993C6B9" w14:textId="77777777" w:rsidR="004F609F" w:rsidRDefault="004F609F"/>
  <w:tbl>
    <w:tblPr>
      <w:tblStyle w:val="TableGrid"/>
      <w:tblW w:w="1020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9"/>
      <w:gridCol w:w="222"/>
      <w:gridCol w:w="6795"/>
    </w:tblGrid>
    <w:tr w:rsidR="005A75CF" w14:paraId="5F2D9F02" w14:textId="77777777" w:rsidTr="005A75CF">
      <w:trPr>
        <w:trHeight w:val="111"/>
      </w:trPr>
      <w:tc>
        <w:tcPr>
          <w:tcW w:w="3189" w:type="dxa"/>
        </w:tcPr>
        <w:p w14:paraId="769D37AE" w14:textId="0CBE32C8" w:rsidR="00671452" w:rsidRPr="00DA212F" w:rsidRDefault="00671452" w:rsidP="00914AA1">
          <w:pPr>
            <w:pStyle w:val="Header"/>
            <w:ind w:right="-1"/>
          </w:pPr>
        </w:p>
      </w:tc>
      <w:tc>
        <w:tcPr>
          <w:tcW w:w="222" w:type="dxa"/>
        </w:tcPr>
        <w:p w14:paraId="086DF7DD" w14:textId="77777777" w:rsidR="00671452" w:rsidRDefault="00671452" w:rsidP="00914AA1">
          <w:pPr>
            <w:pStyle w:val="Header"/>
          </w:pPr>
        </w:p>
      </w:tc>
      <w:tc>
        <w:tcPr>
          <w:tcW w:w="6795" w:type="dxa"/>
          <w:vAlign w:val="bottom"/>
        </w:tcPr>
        <w:p w14:paraId="740B6971" w14:textId="4D3207F8" w:rsidR="00671452" w:rsidRDefault="00A60978" w:rsidP="005A75CF">
          <w:pPr>
            <w:pStyle w:val="Header"/>
            <w:jc w:val="right"/>
            <w:rPr>
              <w:b w:val="0"/>
              <w:bCs/>
              <w:noProof/>
              <w:lang w:val="en-GB"/>
            </w:rPr>
          </w:pPr>
          <w:fldSimple w:instr=" STYLEREF  &quot;Heading 1&quot;  \* MERGEFORMAT ">
            <w:r w:rsidR="006E767C" w:rsidRPr="006E767C">
              <w:rPr>
                <w:b w:val="0"/>
                <w:bCs/>
                <w:noProof/>
                <w:lang w:val="en-US"/>
              </w:rPr>
              <w:t>User Guide for Direct Costs Calculators</w:t>
            </w:r>
          </w:fldSimple>
        </w:p>
        <w:p w14:paraId="7DCA911A" w14:textId="3F6E6E36" w:rsidR="005A75CF" w:rsidRPr="00DA212F" w:rsidRDefault="005A75CF" w:rsidP="005A75CF">
          <w:pPr>
            <w:pStyle w:val="Header"/>
            <w:jc w:val="right"/>
          </w:pPr>
        </w:p>
      </w:tc>
    </w:tr>
  </w:tbl>
  <w:p w14:paraId="711D7F2B" w14:textId="17F06107" w:rsidR="00671452" w:rsidRPr="00914AA1" w:rsidRDefault="00671452" w:rsidP="00F3000A">
    <w:pPr>
      <w:pStyle w:val="Header"/>
      <w:ind w:right="-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7376F0E4"/>
    <w:lvl w:ilvl="0">
      <w:start w:val="1"/>
      <w:numFmt w:val="bullet"/>
      <w:pStyle w:val="ListBullet2"/>
      <w:lvlText w:val="–"/>
      <w:lvlJc w:val="left"/>
      <w:pPr>
        <w:ind w:left="717" w:hanging="360"/>
      </w:pPr>
      <w:rPr>
        <w:rFonts w:ascii="Arial" w:hAnsi="Arial" w:hint="default"/>
        <w:b w:val="0"/>
        <w:i w:val="0"/>
        <w:sz w:val="20"/>
      </w:rPr>
    </w:lvl>
  </w:abstractNum>
  <w:abstractNum w:abstractNumId="1" w15:restartNumberingAfterBreak="0">
    <w:nsid w:val="FFFFFF88"/>
    <w:multiLevelType w:val="singleLevel"/>
    <w:tmpl w:val="D004D212"/>
    <w:lvl w:ilvl="0">
      <w:start w:val="1"/>
      <w:numFmt w:val="decimal"/>
      <w:pStyle w:val="ListNumber"/>
      <w:lvlText w:val="%1."/>
      <w:lvlJc w:val="left"/>
      <w:pPr>
        <w:tabs>
          <w:tab w:val="num" w:pos="360"/>
        </w:tabs>
        <w:ind w:left="360" w:hanging="360"/>
      </w:pPr>
    </w:lvl>
  </w:abstractNum>
  <w:abstractNum w:abstractNumId="2" w15:restartNumberingAfterBreak="0">
    <w:nsid w:val="00EA43F7"/>
    <w:multiLevelType w:val="hybridMultilevel"/>
    <w:tmpl w:val="1F7E75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730FDB"/>
    <w:multiLevelType w:val="hybridMultilevel"/>
    <w:tmpl w:val="DF94C5D6"/>
    <w:lvl w:ilvl="0" w:tplc="0C090001">
      <w:start w:val="1"/>
      <w:numFmt w:val="bullet"/>
      <w:lvlText w:val=""/>
      <w:lvlJc w:val="left"/>
      <w:pPr>
        <w:ind w:left="720" w:hanging="360"/>
      </w:pPr>
      <w:rPr>
        <w:rFonts w:ascii="Symbol" w:hAnsi="Symbol" w:hint="default"/>
      </w:rPr>
    </w:lvl>
    <w:lvl w:ilvl="1" w:tplc="83BE7D76">
      <w:start w:val="1"/>
      <w:numFmt w:val="bullet"/>
      <w:pStyle w:val="ListBullet"/>
      <w:lvlText w:val=""/>
      <w:lvlJc w:val="right"/>
      <w:pPr>
        <w:ind w:left="1440" w:hanging="360"/>
      </w:pPr>
      <w:rPr>
        <w:rFonts w:ascii="Symbol" w:hAnsi="Symbol" w:hint="default"/>
        <w:sz w:val="19"/>
        <w:szCs w:val="19"/>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8E1C21"/>
    <w:multiLevelType w:val="hybridMultilevel"/>
    <w:tmpl w:val="740A39B0"/>
    <w:lvl w:ilvl="0" w:tplc="80D27974">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3716D17"/>
    <w:multiLevelType w:val="hybridMultilevel"/>
    <w:tmpl w:val="A16C5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A624B88"/>
    <w:multiLevelType w:val="hybridMultilevel"/>
    <w:tmpl w:val="EF74B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6889822">
    <w:abstractNumId w:val="0"/>
  </w:num>
  <w:num w:numId="2" w16cid:durableId="604650678">
    <w:abstractNumId w:val="1"/>
  </w:num>
  <w:num w:numId="3" w16cid:durableId="2093425259">
    <w:abstractNumId w:val="4"/>
  </w:num>
  <w:num w:numId="4" w16cid:durableId="73624586">
    <w:abstractNumId w:val="2"/>
  </w:num>
  <w:num w:numId="5" w16cid:durableId="1073161053">
    <w:abstractNumId w:val="5"/>
  </w:num>
  <w:num w:numId="6" w16cid:durableId="1005740882">
    <w:abstractNumId w:val="6"/>
  </w:num>
  <w:num w:numId="7" w16cid:durableId="758016938">
    <w:abstractNumId w:val="3"/>
  </w:num>
  <w:num w:numId="8" w16cid:durableId="176383426">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A10"/>
    <w:rsid w:val="00004C7D"/>
    <w:rsid w:val="00076A10"/>
    <w:rsid w:val="000D073B"/>
    <w:rsid w:val="001B66FF"/>
    <w:rsid w:val="001F06A1"/>
    <w:rsid w:val="002A5041"/>
    <w:rsid w:val="00433E4C"/>
    <w:rsid w:val="00466DC8"/>
    <w:rsid w:val="004F609F"/>
    <w:rsid w:val="005A75CF"/>
    <w:rsid w:val="005C5C89"/>
    <w:rsid w:val="00671452"/>
    <w:rsid w:val="00681AE8"/>
    <w:rsid w:val="006A740F"/>
    <w:rsid w:val="006B1210"/>
    <w:rsid w:val="006E767C"/>
    <w:rsid w:val="007024EF"/>
    <w:rsid w:val="007E2BAE"/>
    <w:rsid w:val="00820012"/>
    <w:rsid w:val="009117D9"/>
    <w:rsid w:val="00A60978"/>
    <w:rsid w:val="00A75D08"/>
    <w:rsid w:val="00B4153A"/>
    <w:rsid w:val="00B93BF7"/>
    <w:rsid w:val="00B96C32"/>
    <w:rsid w:val="00BD3E82"/>
    <w:rsid w:val="00BE023B"/>
    <w:rsid w:val="00BE5078"/>
    <w:rsid w:val="00C73DE6"/>
    <w:rsid w:val="00EC09B0"/>
    <w:rsid w:val="00EC50B7"/>
    <w:rsid w:val="00F05B81"/>
    <w:rsid w:val="00F3000A"/>
    <w:rsid w:val="00F32F13"/>
    <w:rsid w:val="00F42D77"/>
    <w:rsid w:val="00FB4C8A"/>
    <w:rsid w:val="00FC62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E3A78"/>
  <w15:chartTrackingRefBased/>
  <w15:docId w15:val="{71F9CE98-0C79-4C49-A914-CB74473B8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8"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3" w:unhideWhenUsed="1" w:qFormat="1"/>
    <w:lsdException w:name="annotation text" w:semiHidden="1" w:unhideWhenUsed="1"/>
    <w:lsdException w:name="header" w:semiHidden="1" w:uiPriority="38" w:unhideWhenUsed="1"/>
    <w:lsdException w:name="footer" w:semiHidden="1" w:uiPriority="38"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076A10"/>
    <w:pPr>
      <w:spacing w:after="120" w:line="240" w:lineRule="auto"/>
    </w:pPr>
    <w:rPr>
      <w:rFonts w:ascii="Segoe UI" w:hAnsi="Segoe UI"/>
      <w:kern w:val="0"/>
      <w:sz w:val="20"/>
      <w:szCs w:val="18"/>
      <w14:ligatures w14:val="none"/>
    </w:rPr>
  </w:style>
  <w:style w:type="paragraph" w:styleId="Heading1">
    <w:name w:val="heading 1"/>
    <w:basedOn w:val="Normal"/>
    <w:next w:val="Normal"/>
    <w:link w:val="Heading1Char"/>
    <w:uiPriority w:val="5"/>
    <w:qFormat/>
    <w:rsid w:val="00076A10"/>
    <w:pPr>
      <w:keepNext/>
      <w:keepLines/>
      <w:spacing w:before="360" w:after="80"/>
      <w:outlineLvl w:val="0"/>
    </w:pPr>
    <w:rPr>
      <w:rFonts w:asciiTheme="majorHAnsi" w:eastAsiaTheme="majorEastAsia" w:hAnsiTheme="majorHAnsi" w:cstheme="majorBidi"/>
      <w:color w:val="449EAE" w:themeColor="accent1" w:themeShade="BF"/>
      <w:sz w:val="40"/>
      <w:szCs w:val="40"/>
    </w:rPr>
  </w:style>
  <w:style w:type="paragraph" w:styleId="Heading2">
    <w:name w:val="heading 2"/>
    <w:basedOn w:val="Normal"/>
    <w:next w:val="Normal"/>
    <w:link w:val="Heading2Char"/>
    <w:uiPriority w:val="6"/>
    <w:unhideWhenUsed/>
    <w:qFormat/>
    <w:rsid w:val="00076A10"/>
    <w:pPr>
      <w:keepNext/>
      <w:keepLines/>
      <w:spacing w:before="160" w:after="80"/>
      <w:outlineLvl w:val="1"/>
    </w:pPr>
    <w:rPr>
      <w:rFonts w:asciiTheme="majorHAnsi" w:eastAsiaTheme="majorEastAsia" w:hAnsiTheme="majorHAnsi" w:cstheme="majorBidi"/>
      <w:color w:val="449EAE" w:themeColor="accent1" w:themeShade="BF"/>
      <w:sz w:val="32"/>
      <w:szCs w:val="32"/>
    </w:rPr>
  </w:style>
  <w:style w:type="paragraph" w:styleId="Heading3">
    <w:name w:val="heading 3"/>
    <w:basedOn w:val="Normal"/>
    <w:next w:val="Normal"/>
    <w:link w:val="Heading3Char"/>
    <w:uiPriority w:val="6"/>
    <w:unhideWhenUsed/>
    <w:qFormat/>
    <w:rsid w:val="00076A10"/>
    <w:pPr>
      <w:keepNext/>
      <w:keepLines/>
      <w:spacing w:before="160" w:after="80"/>
      <w:outlineLvl w:val="2"/>
    </w:pPr>
    <w:rPr>
      <w:rFonts w:eastAsiaTheme="majorEastAsia" w:cstheme="majorBidi"/>
      <w:color w:val="449EAE" w:themeColor="accent1" w:themeShade="BF"/>
      <w:sz w:val="28"/>
      <w:szCs w:val="28"/>
    </w:rPr>
  </w:style>
  <w:style w:type="paragraph" w:styleId="Heading4">
    <w:name w:val="heading 4"/>
    <w:basedOn w:val="Normal"/>
    <w:next w:val="Normal"/>
    <w:link w:val="Heading4Char"/>
    <w:uiPriority w:val="6"/>
    <w:unhideWhenUsed/>
    <w:qFormat/>
    <w:rsid w:val="00076A10"/>
    <w:pPr>
      <w:keepNext/>
      <w:keepLines/>
      <w:spacing w:before="80" w:after="40"/>
      <w:outlineLvl w:val="3"/>
    </w:pPr>
    <w:rPr>
      <w:rFonts w:eastAsiaTheme="majorEastAsia" w:cstheme="majorBidi"/>
      <w:i/>
      <w:iCs/>
      <w:color w:val="449EAE" w:themeColor="accent1" w:themeShade="BF"/>
    </w:rPr>
  </w:style>
  <w:style w:type="paragraph" w:styleId="Heading5">
    <w:name w:val="heading 5"/>
    <w:basedOn w:val="Normal"/>
    <w:next w:val="Normal"/>
    <w:link w:val="Heading5Char"/>
    <w:uiPriority w:val="9"/>
    <w:semiHidden/>
    <w:unhideWhenUsed/>
    <w:qFormat/>
    <w:rsid w:val="00076A10"/>
    <w:pPr>
      <w:keepNext/>
      <w:keepLines/>
      <w:spacing w:before="80" w:after="40"/>
      <w:outlineLvl w:val="4"/>
    </w:pPr>
    <w:rPr>
      <w:rFonts w:eastAsiaTheme="majorEastAsia" w:cstheme="majorBidi"/>
      <w:color w:val="449EAE" w:themeColor="accent1" w:themeShade="BF"/>
    </w:rPr>
  </w:style>
  <w:style w:type="paragraph" w:styleId="Heading6">
    <w:name w:val="heading 6"/>
    <w:basedOn w:val="Normal"/>
    <w:next w:val="Normal"/>
    <w:link w:val="Heading6Char"/>
    <w:uiPriority w:val="9"/>
    <w:semiHidden/>
    <w:unhideWhenUsed/>
    <w:qFormat/>
    <w:rsid w:val="00076A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A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A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A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76A10"/>
    <w:rPr>
      <w:rFonts w:asciiTheme="majorHAnsi" w:eastAsiaTheme="majorEastAsia" w:hAnsiTheme="majorHAnsi" w:cstheme="majorBidi"/>
      <w:color w:val="449EAE" w:themeColor="accent1" w:themeShade="BF"/>
      <w:sz w:val="40"/>
      <w:szCs w:val="40"/>
    </w:rPr>
  </w:style>
  <w:style w:type="character" w:customStyle="1" w:styleId="Heading2Char">
    <w:name w:val="Heading 2 Char"/>
    <w:basedOn w:val="DefaultParagraphFont"/>
    <w:link w:val="Heading2"/>
    <w:uiPriority w:val="6"/>
    <w:rsid w:val="00076A10"/>
    <w:rPr>
      <w:rFonts w:asciiTheme="majorHAnsi" w:eastAsiaTheme="majorEastAsia" w:hAnsiTheme="majorHAnsi" w:cstheme="majorBidi"/>
      <w:color w:val="449EAE" w:themeColor="accent1" w:themeShade="BF"/>
      <w:sz w:val="32"/>
      <w:szCs w:val="32"/>
    </w:rPr>
  </w:style>
  <w:style w:type="character" w:customStyle="1" w:styleId="Heading3Char">
    <w:name w:val="Heading 3 Char"/>
    <w:basedOn w:val="DefaultParagraphFont"/>
    <w:link w:val="Heading3"/>
    <w:uiPriority w:val="6"/>
    <w:rsid w:val="00076A10"/>
    <w:rPr>
      <w:rFonts w:eastAsiaTheme="majorEastAsia" w:cstheme="majorBidi"/>
      <w:color w:val="449EAE" w:themeColor="accent1" w:themeShade="BF"/>
      <w:sz w:val="28"/>
      <w:szCs w:val="28"/>
    </w:rPr>
  </w:style>
  <w:style w:type="character" w:customStyle="1" w:styleId="Heading4Char">
    <w:name w:val="Heading 4 Char"/>
    <w:basedOn w:val="DefaultParagraphFont"/>
    <w:link w:val="Heading4"/>
    <w:uiPriority w:val="6"/>
    <w:rsid w:val="00076A10"/>
    <w:rPr>
      <w:rFonts w:eastAsiaTheme="majorEastAsia" w:cstheme="majorBidi"/>
      <w:i/>
      <w:iCs/>
      <w:color w:val="449EAE" w:themeColor="accent1" w:themeShade="BF"/>
    </w:rPr>
  </w:style>
  <w:style w:type="character" w:customStyle="1" w:styleId="Heading5Char">
    <w:name w:val="Heading 5 Char"/>
    <w:basedOn w:val="DefaultParagraphFont"/>
    <w:link w:val="Heading5"/>
    <w:uiPriority w:val="9"/>
    <w:semiHidden/>
    <w:rsid w:val="00076A10"/>
    <w:rPr>
      <w:rFonts w:eastAsiaTheme="majorEastAsia" w:cstheme="majorBidi"/>
      <w:color w:val="449EAE" w:themeColor="accent1" w:themeShade="BF"/>
    </w:rPr>
  </w:style>
  <w:style w:type="character" w:customStyle="1" w:styleId="Heading6Char">
    <w:name w:val="Heading 6 Char"/>
    <w:basedOn w:val="DefaultParagraphFont"/>
    <w:link w:val="Heading6"/>
    <w:uiPriority w:val="9"/>
    <w:semiHidden/>
    <w:rsid w:val="00076A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A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A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A10"/>
    <w:rPr>
      <w:rFonts w:eastAsiaTheme="majorEastAsia" w:cstheme="majorBidi"/>
      <w:color w:val="272727" w:themeColor="text1" w:themeTint="D8"/>
    </w:rPr>
  </w:style>
  <w:style w:type="paragraph" w:styleId="Title">
    <w:name w:val="Title"/>
    <w:basedOn w:val="Normal"/>
    <w:next w:val="Normal"/>
    <w:link w:val="TitleChar"/>
    <w:uiPriority w:val="10"/>
    <w:qFormat/>
    <w:rsid w:val="00076A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A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A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A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A10"/>
    <w:pPr>
      <w:spacing w:before="160"/>
      <w:jc w:val="center"/>
    </w:pPr>
    <w:rPr>
      <w:i/>
      <w:iCs/>
      <w:color w:val="404040" w:themeColor="text1" w:themeTint="BF"/>
    </w:rPr>
  </w:style>
  <w:style w:type="character" w:customStyle="1" w:styleId="QuoteChar">
    <w:name w:val="Quote Char"/>
    <w:basedOn w:val="DefaultParagraphFont"/>
    <w:link w:val="Quote"/>
    <w:uiPriority w:val="29"/>
    <w:rsid w:val="00076A10"/>
    <w:rPr>
      <w:i/>
      <w:iCs/>
      <w:color w:val="404040" w:themeColor="text1" w:themeTint="BF"/>
    </w:rPr>
  </w:style>
  <w:style w:type="paragraph" w:styleId="ListParagraph">
    <w:name w:val="List Paragraph"/>
    <w:basedOn w:val="Normal"/>
    <w:uiPriority w:val="34"/>
    <w:qFormat/>
    <w:rsid w:val="00076A10"/>
    <w:pPr>
      <w:ind w:left="720"/>
      <w:contextualSpacing/>
    </w:pPr>
  </w:style>
  <w:style w:type="character" w:styleId="IntenseEmphasis">
    <w:name w:val="Intense Emphasis"/>
    <w:basedOn w:val="DefaultParagraphFont"/>
    <w:uiPriority w:val="21"/>
    <w:qFormat/>
    <w:rsid w:val="00076A10"/>
    <w:rPr>
      <w:i/>
      <w:iCs/>
      <w:color w:val="449EAE" w:themeColor="accent1" w:themeShade="BF"/>
    </w:rPr>
  </w:style>
  <w:style w:type="paragraph" w:styleId="IntenseQuote">
    <w:name w:val="Intense Quote"/>
    <w:basedOn w:val="Normal"/>
    <w:next w:val="Normal"/>
    <w:link w:val="IntenseQuoteChar"/>
    <w:uiPriority w:val="30"/>
    <w:qFormat/>
    <w:rsid w:val="00076A10"/>
    <w:pPr>
      <w:pBdr>
        <w:top w:val="single" w:sz="4" w:space="10" w:color="449EAE" w:themeColor="accent1" w:themeShade="BF"/>
        <w:bottom w:val="single" w:sz="4" w:space="10" w:color="449EAE" w:themeColor="accent1" w:themeShade="BF"/>
      </w:pBdr>
      <w:spacing w:before="360" w:after="360"/>
      <w:ind w:left="864" w:right="864"/>
      <w:jc w:val="center"/>
    </w:pPr>
    <w:rPr>
      <w:i/>
      <w:iCs/>
      <w:color w:val="449EAE" w:themeColor="accent1" w:themeShade="BF"/>
    </w:rPr>
  </w:style>
  <w:style w:type="character" w:customStyle="1" w:styleId="IntenseQuoteChar">
    <w:name w:val="Intense Quote Char"/>
    <w:basedOn w:val="DefaultParagraphFont"/>
    <w:link w:val="IntenseQuote"/>
    <w:uiPriority w:val="30"/>
    <w:rsid w:val="00076A10"/>
    <w:rPr>
      <w:i/>
      <w:iCs/>
      <w:color w:val="449EAE" w:themeColor="accent1" w:themeShade="BF"/>
    </w:rPr>
  </w:style>
  <w:style w:type="character" w:styleId="IntenseReference">
    <w:name w:val="Intense Reference"/>
    <w:basedOn w:val="DefaultParagraphFont"/>
    <w:uiPriority w:val="32"/>
    <w:qFormat/>
    <w:rsid w:val="00076A10"/>
    <w:rPr>
      <w:b/>
      <w:bCs/>
      <w:smallCaps/>
      <w:color w:val="449EAE" w:themeColor="accent1" w:themeShade="BF"/>
      <w:spacing w:val="5"/>
    </w:rPr>
  </w:style>
  <w:style w:type="paragraph" w:styleId="Header">
    <w:name w:val="header"/>
    <w:basedOn w:val="Normal"/>
    <w:link w:val="HeaderChar"/>
    <w:uiPriority w:val="38"/>
    <w:unhideWhenUsed/>
    <w:rsid w:val="00076A10"/>
    <w:pPr>
      <w:tabs>
        <w:tab w:val="center" w:pos="4513"/>
        <w:tab w:val="right" w:pos="9026"/>
      </w:tabs>
      <w:spacing w:after="0"/>
    </w:pPr>
    <w:rPr>
      <w:b/>
      <w:sz w:val="14"/>
    </w:rPr>
  </w:style>
  <w:style w:type="character" w:customStyle="1" w:styleId="HeaderChar">
    <w:name w:val="Header Char"/>
    <w:basedOn w:val="DefaultParagraphFont"/>
    <w:link w:val="Header"/>
    <w:uiPriority w:val="38"/>
    <w:rsid w:val="00076A10"/>
    <w:rPr>
      <w:rFonts w:ascii="Segoe UI" w:hAnsi="Segoe UI"/>
      <w:b/>
      <w:kern w:val="0"/>
      <w:sz w:val="14"/>
      <w:szCs w:val="18"/>
      <w14:ligatures w14:val="none"/>
    </w:rPr>
  </w:style>
  <w:style w:type="paragraph" w:styleId="Footer">
    <w:name w:val="footer"/>
    <w:basedOn w:val="Normal"/>
    <w:link w:val="FooterChar"/>
    <w:uiPriority w:val="38"/>
    <w:unhideWhenUsed/>
    <w:rsid w:val="00076A10"/>
    <w:pPr>
      <w:tabs>
        <w:tab w:val="center" w:pos="4513"/>
        <w:tab w:val="right" w:pos="9026"/>
      </w:tabs>
      <w:spacing w:after="0"/>
    </w:pPr>
    <w:rPr>
      <w:sz w:val="17"/>
    </w:rPr>
  </w:style>
  <w:style w:type="character" w:customStyle="1" w:styleId="FooterChar">
    <w:name w:val="Footer Char"/>
    <w:basedOn w:val="DefaultParagraphFont"/>
    <w:link w:val="Footer"/>
    <w:uiPriority w:val="38"/>
    <w:rsid w:val="00076A10"/>
    <w:rPr>
      <w:rFonts w:ascii="Segoe UI" w:hAnsi="Segoe UI"/>
      <w:kern w:val="0"/>
      <w:sz w:val="17"/>
      <w:szCs w:val="18"/>
      <w14:ligatures w14:val="none"/>
    </w:rPr>
  </w:style>
  <w:style w:type="paragraph" w:styleId="Caption">
    <w:name w:val="caption"/>
    <w:basedOn w:val="Normal"/>
    <w:next w:val="Normal"/>
    <w:uiPriority w:val="12"/>
    <w:unhideWhenUsed/>
    <w:qFormat/>
    <w:rsid w:val="00076A10"/>
    <w:pPr>
      <w:spacing w:after="200"/>
    </w:pPr>
    <w:rPr>
      <w:b/>
      <w:iCs/>
      <w:sz w:val="16"/>
    </w:rPr>
  </w:style>
  <w:style w:type="table" w:styleId="TableGrid">
    <w:name w:val="Table Grid"/>
    <w:basedOn w:val="TableNormal"/>
    <w:uiPriority w:val="39"/>
    <w:rsid w:val="00076A1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76A10"/>
    <w:rPr>
      <w:color w:val="467886" w:themeColor="hyperlink"/>
      <w:u w:val="single"/>
    </w:rPr>
  </w:style>
  <w:style w:type="paragraph" w:customStyle="1" w:styleId="TableText">
    <w:name w:val="Table Text"/>
    <w:basedOn w:val="Normal"/>
    <w:uiPriority w:val="14"/>
    <w:qFormat/>
    <w:rsid w:val="00076A10"/>
    <w:pPr>
      <w:spacing w:before="60" w:after="60"/>
    </w:pPr>
    <w:rPr>
      <w:color w:val="FFFFFF" w:themeColor="background1"/>
    </w:rPr>
  </w:style>
  <w:style w:type="paragraph" w:customStyle="1" w:styleId="Source">
    <w:name w:val="Source"/>
    <w:basedOn w:val="Normal"/>
    <w:next w:val="Normal"/>
    <w:uiPriority w:val="23"/>
    <w:qFormat/>
    <w:rsid w:val="00076A10"/>
    <w:pPr>
      <w:spacing w:after="240"/>
      <w:contextualSpacing/>
    </w:pPr>
    <w:rPr>
      <w:i/>
      <w:sz w:val="16"/>
      <w:szCs w:val="19"/>
    </w:rPr>
  </w:style>
  <w:style w:type="paragraph" w:styleId="ListNumber">
    <w:name w:val="List Number"/>
    <w:basedOn w:val="ListParagraph"/>
    <w:uiPriority w:val="10"/>
    <w:rsid w:val="00076A10"/>
    <w:pPr>
      <w:numPr>
        <w:numId w:val="2"/>
      </w:numPr>
      <w:tabs>
        <w:tab w:val="clear" w:pos="360"/>
        <w:tab w:val="left" w:pos="357"/>
      </w:tabs>
      <w:spacing w:before="60" w:after="60"/>
      <w:contextualSpacing w:val="0"/>
    </w:pPr>
    <w:rPr>
      <w:rFonts w:ascii="Arial" w:hAnsi="Arial"/>
    </w:rPr>
  </w:style>
  <w:style w:type="paragraph" w:styleId="ListBullet">
    <w:name w:val="List Bullet"/>
    <w:basedOn w:val="Normal"/>
    <w:uiPriority w:val="9"/>
    <w:rsid w:val="00076A10"/>
    <w:pPr>
      <w:numPr>
        <w:ilvl w:val="1"/>
        <w:numId w:val="7"/>
      </w:numPr>
      <w:tabs>
        <w:tab w:val="left" w:pos="357"/>
      </w:tabs>
      <w:spacing w:before="60" w:after="60"/>
    </w:pPr>
  </w:style>
  <w:style w:type="paragraph" w:styleId="ListBullet2">
    <w:name w:val="List Bullet 2"/>
    <w:basedOn w:val="Normal"/>
    <w:uiPriority w:val="10"/>
    <w:rsid w:val="00076A10"/>
    <w:pPr>
      <w:numPr>
        <w:numId w:val="1"/>
      </w:numPr>
      <w:tabs>
        <w:tab w:val="left" w:pos="714"/>
      </w:tabs>
      <w:spacing w:before="60" w:after="60"/>
    </w:pPr>
  </w:style>
  <w:style w:type="paragraph" w:customStyle="1" w:styleId="Appendices">
    <w:name w:val="Appendices"/>
    <w:basedOn w:val="Normal"/>
    <w:next w:val="Normal"/>
    <w:uiPriority w:val="24"/>
    <w:qFormat/>
    <w:rsid w:val="005A75CF"/>
    <w:pPr>
      <w:pageBreakBefore/>
      <w:spacing w:before="240" w:after="240"/>
    </w:pPr>
    <w:rPr>
      <w:rFonts w:ascii="Arial" w:eastAsia="Arial" w:hAnsi="Arial" w:cs="Times New Roman"/>
      <w:b/>
      <w:sz w:val="40"/>
    </w:rPr>
  </w:style>
  <w:style w:type="paragraph" w:styleId="FootnoteText">
    <w:name w:val="footnote text"/>
    <w:basedOn w:val="Normal"/>
    <w:link w:val="FootnoteTextChar"/>
    <w:autoRedefine/>
    <w:uiPriority w:val="23"/>
    <w:semiHidden/>
    <w:qFormat/>
    <w:rsid w:val="005A75CF"/>
    <w:pPr>
      <w:spacing w:before="40" w:after="40"/>
    </w:pPr>
    <w:rPr>
      <w:rFonts w:ascii="Arial" w:hAnsi="Arial"/>
      <w:sz w:val="12"/>
      <w:szCs w:val="20"/>
    </w:rPr>
  </w:style>
  <w:style w:type="character" w:customStyle="1" w:styleId="FootnoteTextChar">
    <w:name w:val="Footnote Text Char"/>
    <w:basedOn w:val="DefaultParagraphFont"/>
    <w:link w:val="FootnoteText"/>
    <w:uiPriority w:val="23"/>
    <w:semiHidden/>
    <w:rsid w:val="005A75CF"/>
    <w:rPr>
      <w:rFonts w:ascii="Arial" w:hAnsi="Arial"/>
      <w:kern w:val="0"/>
      <w:sz w:val="12"/>
      <w:szCs w:val="20"/>
      <w14:ligatures w14:val="none"/>
    </w:rPr>
  </w:style>
  <w:style w:type="paragraph" w:customStyle="1" w:styleId="TableListBullet">
    <w:name w:val="Table List Bullet"/>
    <w:basedOn w:val="Normal"/>
    <w:uiPriority w:val="19"/>
    <w:qFormat/>
    <w:rsid w:val="005A75CF"/>
    <w:pPr>
      <w:numPr>
        <w:numId w:val="3"/>
      </w:numPr>
      <w:tabs>
        <w:tab w:val="left" w:pos="357"/>
      </w:tabs>
      <w:spacing w:before="60" w:after="60"/>
      <w:ind w:left="357" w:hanging="357"/>
    </w:pPr>
    <w:rPr>
      <w:rFonts w:ascii="Arial" w:hAnsi="Arial"/>
    </w:rPr>
  </w:style>
  <w:style w:type="character" w:styleId="FootnoteReference">
    <w:name w:val="footnote reference"/>
    <w:basedOn w:val="DefaultParagraphFont"/>
    <w:uiPriority w:val="23"/>
    <w:semiHidden/>
    <w:rsid w:val="005A75CF"/>
    <w:rPr>
      <w:color w:val="auto"/>
      <w:bdr w:val="none" w:sz="0" w:space="0" w:color="auto"/>
      <w:vertAlign w:val="superscript"/>
    </w:rPr>
  </w:style>
  <w:style w:type="paragraph" w:customStyle="1" w:styleId="ListBulletIndent">
    <w:name w:val="List Bullet Indent"/>
    <w:basedOn w:val="ListBullet"/>
    <w:uiPriority w:val="9"/>
    <w:qFormat/>
    <w:rsid w:val="005A75CF"/>
    <w:pPr>
      <w:ind w:firstLine="0"/>
    </w:pPr>
    <w:rPr>
      <w:rFonts w:ascii="Arial" w:hAnsi="Arial"/>
    </w:rPr>
  </w:style>
  <w:style w:type="paragraph" w:customStyle="1" w:styleId="AppendixHeading3">
    <w:name w:val="Appendix Heading 3"/>
    <w:basedOn w:val="Normal"/>
    <w:uiPriority w:val="25"/>
    <w:qFormat/>
    <w:rsid w:val="005A75CF"/>
    <w:pPr>
      <w:tabs>
        <w:tab w:val="left" w:pos="1134"/>
      </w:tabs>
      <w:spacing w:before="240" w:after="240"/>
      <w:outlineLvl w:val="2"/>
    </w:pPr>
    <w:rPr>
      <w:rFonts w:ascii="Arial" w:eastAsia="Times New Roman" w:hAnsi="Arial" w:cs="Times New Roman"/>
      <w:b/>
      <w:bCs/>
      <w:sz w:val="32"/>
      <w:szCs w:val="24"/>
    </w:rPr>
  </w:style>
  <w:style w:type="character" w:styleId="PlaceholderText">
    <w:name w:val="Placeholder Text"/>
    <w:basedOn w:val="DefaultParagraphFont"/>
    <w:uiPriority w:val="99"/>
    <w:semiHidden/>
    <w:rsid w:val="00820012"/>
    <w:rPr>
      <w:color w:val="666666"/>
    </w:rPr>
  </w:style>
  <w:style w:type="character" w:styleId="CommentReference">
    <w:name w:val="annotation reference"/>
    <w:basedOn w:val="DefaultParagraphFont"/>
    <w:uiPriority w:val="99"/>
    <w:semiHidden/>
    <w:unhideWhenUsed/>
    <w:rsid w:val="00A60978"/>
    <w:rPr>
      <w:sz w:val="16"/>
      <w:szCs w:val="16"/>
    </w:rPr>
  </w:style>
  <w:style w:type="paragraph" w:styleId="CommentText">
    <w:name w:val="annotation text"/>
    <w:basedOn w:val="Normal"/>
    <w:link w:val="CommentTextChar"/>
    <w:uiPriority w:val="99"/>
    <w:unhideWhenUsed/>
    <w:rsid w:val="00A60978"/>
    <w:rPr>
      <w:szCs w:val="20"/>
    </w:rPr>
  </w:style>
  <w:style w:type="character" w:customStyle="1" w:styleId="CommentTextChar">
    <w:name w:val="Comment Text Char"/>
    <w:basedOn w:val="DefaultParagraphFont"/>
    <w:link w:val="CommentText"/>
    <w:uiPriority w:val="99"/>
    <w:rsid w:val="00A60978"/>
    <w:rPr>
      <w:rFonts w:ascii="Segoe UI" w:hAnsi="Segoe UI"/>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60978"/>
    <w:rPr>
      <w:b/>
      <w:bCs/>
    </w:rPr>
  </w:style>
  <w:style w:type="character" w:customStyle="1" w:styleId="CommentSubjectChar">
    <w:name w:val="Comment Subject Char"/>
    <w:basedOn w:val="CommentTextChar"/>
    <w:link w:val="CommentSubject"/>
    <w:uiPriority w:val="99"/>
    <w:semiHidden/>
    <w:rsid w:val="00A60978"/>
    <w:rPr>
      <w:rFonts w:ascii="Segoe UI" w:hAnsi="Segoe UI"/>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oia.pmc.gov.au/sites/default/files/2023-05/regulatory-burden-measurement-framework.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s3.treasury.qld.gov.au/files/paf-cost-benefit-analysis.pdf" TargetMode="External"/><Relationship Id="rId1" Type="http://schemas.openxmlformats.org/officeDocument/2006/relationships/hyperlink" Target="https://s3.treasury.qld.gov.au/files/paf-cost-benefit-analy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E98A918-4603-4838-92A7-B997C55F5950}"/>
      </w:docPartPr>
      <w:docPartBody>
        <w:p w:rsidR="00BD3FEA" w:rsidRDefault="00D52BF2">
          <w:r w:rsidRPr="00617D1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2"/>
    <w:rsid w:val="00096824"/>
    <w:rsid w:val="00130F84"/>
    <w:rsid w:val="001F06A1"/>
    <w:rsid w:val="00466DC8"/>
    <w:rsid w:val="00B4153A"/>
    <w:rsid w:val="00BD3FEA"/>
    <w:rsid w:val="00D52B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2BF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QPC">
      <a:dk1>
        <a:srgbClr val="000000"/>
      </a:dk1>
      <a:lt1>
        <a:srgbClr val="FFFFFF"/>
      </a:lt1>
      <a:dk2>
        <a:srgbClr val="062836"/>
      </a:dk2>
      <a:lt2>
        <a:srgbClr val="E5E6E5"/>
      </a:lt2>
      <a:accent1>
        <a:srgbClr val="79BFCB"/>
      </a:accent1>
      <a:accent2>
        <a:srgbClr val="087486"/>
      </a:accent2>
      <a:accent3>
        <a:srgbClr val="084054"/>
      </a:accent3>
      <a:accent4>
        <a:srgbClr val="9FD9DB"/>
      </a:accent4>
      <a:accent5>
        <a:srgbClr val="D6D7D6"/>
      </a:accent5>
      <a:accent6>
        <a:srgbClr val="E3FFF6"/>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TDocumentDate xmlns="http://schemas.microsoft.com/sharepoint/v3">2025-02-21T01:28:32+00:00</QTDocumentDate>
    <QTRetainTaxHTField xmlns="http://schemas.microsoft.com/sharepoint/v3">
      <Terms xmlns="http://schemas.microsoft.com/office/infopath/2007/PartnerControls">
        <TermInfo xmlns="http://schemas.microsoft.com/office/infopath/2007/PartnerControls">
          <TermName xmlns="http://schemas.microsoft.com/office/infopath/2007/PartnerControls">Record</TermName>
          <TermId xmlns="http://schemas.microsoft.com/office/infopath/2007/PartnerControls">2584089d-4b41-46ae-ad46-8a9fb08e05f7</TermId>
        </TermInfo>
      </Terms>
    </QTRetainTaxHTField>
    <QTDocumentId xmlns="http://schemas.microsoft.com/sharepoint/v3" xsi:nil="true"/>
    <QTBusinessOwnerTaxHTField xmlns="http://schemas.microsoft.com/sharepoint/v3">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39585e78-966e-45fb-9e52-abd7492dbf3c</TermId>
        </TermInfo>
      </Terms>
    </QTBusinessOwnerTaxHTField>
    <QTActivityTaxHTField xmlns="http://schemas.microsoft.com/sharepoint/v3">
      <Terms xmlns="http://schemas.microsoft.com/office/infopath/2007/PartnerControls">
        <TermInfo xmlns="http://schemas.microsoft.com/office/infopath/2007/PartnerControls">
          <TermName xmlns="http://schemas.microsoft.com/office/infopath/2007/PartnerControls">Communication project</TermName>
          <TermId xmlns="http://schemas.microsoft.com/office/infopath/2007/PartnerControls">18252056-aa18-4866-8e72-ec85a3248cf9</TermId>
        </TermInfo>
      </Terms>
    </QTActivityTaxHTField>
    <QTSecurityClassificationTaxHTField xmlns="http://schemas.microsoft.com/sharepoint/v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f67802d0-e2d2-455e-bfc4-106d673b036c</TermId>
        </TermInfo>
      </Terms>
    </QTSecurityClassificationTaxHTField>
    <TaxCatchAll xmlns="1227c05b-0364-427a-85dd-9bb2ccb6cb6a">
      <Value>4</Value>
      <Value>36</Value>
      <Value>1</Value>
      <Value>35</Value>
    </TaxCatchAll>
    <lcf76f155ced4ddcb4097134ff3c332f xmlns="d1db62f0-30ff-45e3-850f-714c416cf9cf">
      <Terms xmlns="http://schemas.microsoft.com/office/infopath/2007/PartnerControls"/>
    </lcf76f155ced4ddcb4097134ff3c332f>
    <_dlc_DocId xmlns="4ed821ac-589c-4003-a172-e625d938d56c">AE7YPPJV67PY-1504921193-9556</_dlc_DocId>
    <_dlc_DocIdUrl xmlns="4ed821ac-589c-4003-a172-e625d938d56c">
      <Url>https://treasuryqld.sharepoint.com/sites/OPRTR-OBPR/_layouts/15/DocIdRedir.aspx?ID=AE7YPPJV67PY-1504921193-9556</Url>
      <Description>AE7YPPJV67PY-1504921193-9556</Description>
    </_dlc_DocIdUrl>
    <ID_x0023_ xmlns="4ed821ac-589c-4003-a172-e625d938d56c" xsi:nil="true"/>
    <DateOfIssue xmlns="4ed821ac-589c-4003-a172-e625d938d56c" xsi:nil="true"/>
    <bbb41b92974b4cd68f66ad51c891caf5 xmlns="4ed821ac-589c-4003-a172-e625d938d56c">
      <Terms xmlns="http://schemas.microsoft.com/office/infopath/2007/PartnerControls"/>
    </bbb41b92974b4cd68f66ad51c891caf5>
    <ElectronicId xmlns="4ed821ac-589c-4003-a172-e625d938d56c" xsi:nil="true"/>
    <RecordType xmlns="4ed821ac-589c-4003-a172-e625d938d56c" xsi:nil="true"/>
    <mb45a49aa926406cb8c8d93ec654ac2b xmlns="4ed821ac-589c-4003-a172-e625d938d56c">
      <Terms xmlns="http://schemas.microsoft.com/office/infopath/2007/PartnerControls"/>
    </mb45a49aa926406cb8c8d93ec654ac2b>
    <CaseID xmlns="4ed821ac-589c-4003-a172-e625d938d56c" xsi:nil="true"/>
    <AISearchVectors xmlns="4ed821ac-589c-4003-a172-e625d938d56c" xsi:nil="true"/>
    <RecordNumber xmlns="4ed821ac-589c-4003-a172-e625d938d56c" xsi:nil="true"/>
    <CoeusKeywords xmlns="4ed821ac-589c-4003-a172-e625d938d56c" xsi:nil="true"/>
    <QTQGSONotes xmlns="1227c05b-0364-427a-85dd-9bb2ccb6cb6a" xsi:nil="true"/>
    <ResponsibleOfficer xmlns="4ed821ac-589c-4003-a172-e625d938d56c" xsi:nil="true"/>
    <ANZSICcode xmlns="4ed821ac-589c-4003-a172-e625d938d56c" xsi:nil="true"/>
    <Audit xmlns="4ed821ac-589c-4003-a172-e625d938d56c" xsi:nil="true"/>
    <Document_x0020_Type xmlns="4ed821ac-589c-4003-a172-e625d938d56c" xsi:nil="true"/>
    <Disposition xmlns="4ed821ac-589c-4003-a172-e625d938d56c" xsi:nil="true"/>
    <CRMUser xmlns="4ed821ac-589c-4003-a172-e625d938d56c" xsi:nil="true"/>
    <Owner xmlns="4ed821ac-589c-4003-a172-e625d938d56c" xsi:nil="true"/>
    <RecordUri xmlns="4ed821ac-589c-4003-a172-e625d938d56c" xsi:nil="true"/>
    <k0f42f36457d4b6abb7e29f8bdac1e99 xmlns="4ed821ac-589c-4003-a172-e625d938d56c">
      <Terms xmlns="http://schemas.microsoft.com/office/infopath/2007/PartnerControls"/>
    </k0f42f36457d4b6abb7e29f8bdac1e99>
    <TRIM_x0020_Author xmlns="4ed821ac-589c-4003-a172-e625d938d56c" xsi:nil="true"/>
    <ContainerPath xmlns="4ed821ac-589c-4003-a172-e625d938d56c" xsi:nil="true"/>
    <Home xmlns="4ed821ac-589c-4003-a172-e625d938d56c" xsi:nil="true"/>
    <Legislation xmlns="4ed821ac-589c-4003-a172-e625d938d56c" xsi:nil="true"/>
    <CaseName xmlns="4ed821ac-589c-4003-a172-e625d938d56c" xsi:nil="true"/>
    <FilePlan xmlns="4ed821ac-589c-4003-a172-e625d938d56c" xsi:nil="true"/>
    <StructuredTitle xmlns="4ed821ac-589c-4003-a172-e625d938d56c" xsi:nil="true"/>
    <n77d42287e824764a498f9a4fa7cd7c4 xmlns="4ed821ac-589c-4003-a172-e625d938d56c">
      <Terms xmlns="http://schemas.microsoft.com/office/infopath/2007/PartnerControls"/>
    </n77d42287e824764a498f9a4fa7cd7c4>
    <Assignee xmlns="4ed821ac-589c-4003-a172-e625d938d56c" xsi:nil="true"/>
    <Completed xmlns="d1db62f0-30ff-45e3-850f-714c416cf9cf">false</Completed>
    <b55a7950d5ba4acda029a6153d1347d7 xmlns="4ed821ac-589c-4003-a172-e625d938d56c">
      <Terms xmlns="http://schemas.microsoft.com/office/infopath/2007/PartnerControls"/>
    </b55a7950d5ba4acda029a6153d1347d7>
    <SharedWithUsers xmlns="4ed821ac-589c-4003-a172-e625d938d56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OPRTR Document" ma:contentTypeID="0x010100781568B1C4394FA28C28FD40A55844C00011FC80BCA66C1B46BA01D6B998701B3B00011B56C7932D1B489E45286C51F4DB65" ma:contentTypeVersion="29" ma:contentTypeDescription="" ma:contentTypeScope="" ma:versionID="4e1bacb4b35e1744804e303004ac9e9c">
  <xsd:schema xmlns:xsd="http://www.w3.org/2001/XMLSchema" xmlns:xs="http://www.w3.org/2001/XMLSchema" xmlns:p="http://schemas.microsoft.com/office/2006/metadata/properties" xmlns:ns1="http://schemas.microsoft.com/sharepoint/v3" xmlns:ns2="4ed821ac-589c-4003-a172-e625d938d56c" xmlns:ns3="1227c05b-0364-427a-85dd-9bb2ccb6cb6a" xmlns:ns4="d1db62f0-30ff-45e3-850f-714c416cf9cf" targetNamespace="http://schemas.microsoft.com/office/2006/metadata/properties" ma:root="true" ma:fieldsID="53ff1142f078da93690d41ca7a3e8eae" ns1:_="" ns2:_="" ns3:_="" ns4:_="">
    <xsd:import namespace="http://schemas.microsoft.com/sharepoint/v3"/>
    <xsd:import namespace="4ed821ac-589c-4003-a172-e625d938d56c"/>
    <xsd:import namespace="1227c05b-0364-427a-85dd-9bb2ccb6cb6a"/>
    <xsd:import namespace="d1db62f0-30ff-45e3-850f-714c416cf9cf"/>
    <xsd:element name="properties">
      <xsd:complexType>
        <xsd:sequence>
          <xsd:element name="documentManagement">
            <xsd:complexType>
              <xsd:all>
                <xsd:element ref="ns2:CaseID" minOccurs="0"/>
                <xsd:element ref="ns2:CaseName" minOccurs="0"/>
                <xsd:element ref="ns2:CRMUser" minOccurs="0"/>
                <xsd:element ref="ns2:DateOfIssue" minOccurs="0"/>
                <xsd:element ref="ns1:QTDocumentDate" minOccurs="0"/>
                <xsd:element ref="ns2:ID_x0023_" minOccurs="0"/>
                <xsd:element ref="ns3:QTQGSONotes" minOccurs="0"/>
                <xsd:element ref="ns2:Document_x0020_Type" minOccurs="0"/>
                <xsd:element ref="ns2:ResponsibleOfficer" minOccurs="0"/>
                <xsd:element ref="ns2:AISearchVectors" minOccurs="0"/>
                <xsd:element ref="ns2:CoeusKeywords" minOccurs="0"/>
                <xsd:element ref="ns2:ANZSICcode" minOccurs="0"/>
                <xsd:element ref="ns2:Assignee" minOccurs="0"/>
                <xsd:element ref="ns2:ContainerPath" minOccurs="0"/>
                <xsd:element ref="ns2:Disposition" minOccurs="0"/>
                <xsd:element ref="ns2:ElectronicId" minOccurs="0"/>
                <xsd:element ref="ns2:FilePlan" minOccurs="0"/>
                <xsd:element ref="ns2:Home" minOccurs="0"/>
                <xsd:element ref="ns2:Owner" minOccurs="0"/>
                <xsd:element ref="ns2:RecordNumber" minOccurs="0"/>
                <xsd:element ref="ns2:RecordType" minOccurs="0"/>
                <xsd:element ref="ns2:RecordUri" minOccurs="0"/>
                <xsd:element ref="ns2:StructuredTitle" minOccurs="0"/>
                <xsd:element ref="ns2:TRIM_x0020_Author" minOccurs="0"/>
                <xsd:element ref="ns2:Audit" minOccurs="0"/>
                <xsd:element ref="ns2:Legisl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4:MediaServiceObjectDetectorVersions" minOccurs="0"/>
                <xsd:element ref="ns4:MediaServiceSearchProperties" minOccurs="0"/>
                <xsd:element ref="ns4:Completed" minOccurs="0"/>
                <xsd:element ref="ns4:MediaServiceLocation" minOccurs="0"/>
                <xsd:element ref="ns2:n77d42287e824764a498f9a4fa7cd7c4" minOccurs="0"/>
                <xsd:element ref="ns2:_dlc_DocIdPersistId" minOccurs="0"/>
                <xsd:element ref="ns3:TaxCatchAll" minOccurs="0"/>
                <xsd:element ref="ns3:TaxCatchAllLabel" minOccurs="0"/>
                <xsd:element ref="ns1:QTSecurityClassificationTaxHTField" minOccurs="0"/>
                <xsd:element ref="ns1:QTRetainTaxHTField" minOccurs="0"/>
                <xsd:element ref="ns2:_dlc_DocIdUrl" minOccurs="0"/>
                <xsd:element ref="ns2:k0f42f36457d4b6abb7e29f8bdac1e99" minOccurs="0"/>
                <xsd:element ref="ns1:QTActivityTaxHTField" minOccurs="0"/>
                <xsd:element ref="ns2:b55a7950d5ba4acda029a6153d1347d7" minOccurs="0"/>
                <xsd:element ref="ns1:QTDocumentId" minOccurs="0"/>
                <xsd:element ref="ns1:QTBusinessOwnerTaxHTField" minOccurs="0"/>
                <xsd:element ref="ns2:bbb41b92974b4cd68f66ad51c891caf5" minOccurs="0"/>
                <xsd:element ref="ns2:mb45a49aa926406cb8c8d93ec654ac2b"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TDocumentDate" ma:index="11" nillable="true" ma:displayName="Document Date" ma:default="[today]" ma:format="DateOnly" ma:internalName="QTDocumentDate">
      <xsd:simpleType>
        <xsd:restriction base="dms:DateTime"/>
      </xsd:simpleType>
    </xsd:element>
    <xsd:element name="QTSecurityClassificationTaxHTField" ma:index="60" nillable="true" ma:taxonomy="true" ma:internalName="QTSecurityClassificationTaxHTField" ma:taxonomyFieldName="QTSecurityClassification" ma:displayName="Security Classification" ma:readOnly="false" ma:default="1;#OFFICIAL|f67802d0-e2d2-455e-bfc4-106d673b036c" ma:fieldId="{5e6cf0f2-a8b2-4528-ba19-607cbb2b5f4b}" ma:sspId="a2313f21-320d-4b32-babf-82317826f03e" ma:termSetId="5eba7a93-314e-40d1-b66d-b8925c50e962" ma:anchorId="00000000-0000-0000-0000-000000000000" ma:open="false" ma:isKeyword="false">
      <xsd:complexType>
        <xsd:sequence>
          <xsd:element ref="pc:Terms" minOccurs="0" maxOccurs="1"/>
        </xsd:sequence>
      </xsd:complexType>
    </xsd:element>
    <xsd:element name="QTRetainTaxHTField" ma:index="62" nillable="true" ma:taxonomy="true" ma:internalName="QTRetainTaxHTField" ma:taxonomyFieldName="QTRetain" ma:displayName="Retain" ma:readOnly="false" ma:default="2;#Not a Record|be9c41f7-771d-4c32-914c-5fdd078bfabe" ma:fieldId="{566ca1ba-f3c8-44ee-a9b1-35e411c04af3}" ma:sspId="a2313f21-320d-4b32-babf-82317826f03e" ma:termSetId="ca986ede-da31-4438-9be3-b2d1fffc7559" ma:anchorId="00000000-0000-0000-0000-000000000000" ma:open="false" ma:isKeyword="false">
      <xsd:complexType>
        <xsd:sequence>
          <xsd:element ref="pc:Terms" minOccurs="0" maxOccurs="1"/>
        </xsd:sequence>
      </xsd:complexType>
    </xsd:element>
    <xsd:element name="QTActivityTaxHTField" ma:index="66" nillable="true" ma:taxonomy="true" ma:internalName="QTActivityTaxHTField" ma:taxonomyFieldName="QTActivity" ma:displayName="Activity" ma:readOnly="false" ma:default="" ma:fieldId="{396fe2d1-c521-434d-ac80-f7463cc6128b}" ma:sspId="a2313f21-320d-4b32-babf-82317826f03e" ma:termSetId="dbefb770-281c-4905-9787-01dec3f74e87" ma:anchorId="00000000-0000-0000-0000-000000000000" ma:open="false" ma:isKeyword="false">
      <xsd:complexType>
        <xsd:sequence>
          <xsd:element ref="pc:Terms" minOccurs="0" maxOccurs="1"/>
        </xsd:sequence>
      </xsd:complexType>
    </xsd:element>
    <xsd:element name="QTDocumentId" ma:index="70" nillable="true" ma:displayName="Document ID" ma:hidden="true" ma:internalName="QTDocumentId" ma:readOnly="false">
      <xsd:simpleType>
        <xsd:restriction base="dms:Text"/>
      </xsd:simpleType>
    </xsd:element>
    <xsd:element name="QTBusinessOwnerTaxHTField" ma:index="71" nillable="true" ma:taxonomy="true" ma:internalName="QTBusinessOwnerTaxHTField" ma:taxonomyFieldName="QTBusinessOwner" ma:displayName="Business Owner" ma:readOnly="false" ma:default="" ma:fieldId="{6e15ce56-a150-4282-98d0-7527b67550ba}" ma:sspId="a2313f21-320d-4b32-babf-82317826f03e" ma:termSetId="3fd11d86-b919-4797-8f14-213cca9ba85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d821ac-589c-4003-a172-e625d938d56c" elementFormDefault="qualified">
    <xsd:import namespace="http://schemas.microsoft.com/office/2006/documentManagement/types"/>
    <xsd:import namespace="http://schemas.microsoft.com/office/infopath/2007/PartnerControls"/>
    <xsd:element name="CaseID" ma:index="7" nillable="true" ma:displayName="Case ID" ma:internalName="CaseID">
      <xsd:simpleType>
        <xsd:restriction base="dms:Text">
          <xsd:maxLength value="255"/>
        </xsd:restriction>
      </xsd:simpleType>
    </xsd:element>
    <xsd:element name="CaseName" ma:index="8" nillable="true" ma:displayName="Case Name" ma:internalName="CaseName">
      <xsd:simpleType>
        <xsd:restriction base="dms:Text">
          <xsd:maxLength value="255"/>
        </xsd:restriction>
      </xsd:simpleType>
    </xsd:element>
    <xsd:element name="CRMUser" ma:index="9" nillable="true" ma:displayName="CRM User" ma:internalName="CRMUser">
      <xsd:simpleType>
        <xsd:restriction base="dms:Text">
          <xsd:maxLength value="255"/>
        </xsd:restriction>
      </xsd:simpleType>
    </xsd:element>
    <xsd:element name="DateOfIssue" ma:index="10" nillable="true" ma:displayName="Date of Issue" ma:format="DateOnly" ma:internalName="DateOfIssue">
      <xsd:simpleType>
        <xsd:restriction base="dms:DateTime"/>
      </xsd:simpleType>
    </xsd:element>
    <xsd:element name="ID_x0023_" ma:index="14" nillable="true" ma:displayName="ID #" ma:decimals="0" ma:internalName="ID_x0023_" ma:percentage="FALSE">
      <xsd:simpleType>
        <xsd:restriction base="dms:Number"/>
      </xsd:simpleType>
    </xsd:element>
    <xsd:element name="Document_x0020_Type" ma:index="16" nillable="true" ma:displayName="OBPR Document Type" ma:format="Dropdown" ma:indexed="true" ma:internalName="Document_x0020_Type">
      <xsd:simpleType>
        <xsd:union memberTypes="dms:Text">
          <xsd:simpleType>
            <xsd:restriction base="dms:Choice">
              <xsd:enumeration value="Cabinet documents sent from CLLO"/>
              <xsd:enumeration value="Compliance cost estimate from agency (e.g. spreadsheet)"/>
              <xsd:enumeration value="Draft Full IAS (Consultation, Decision, Post IAS)"/>
              <xsd:enumeration value="ECM documents from CLLO"/>
              <xsd:enumeration value="Email Advice on Cabinet document (to agency or Treasury Officer)"/>
              <xsd:enumeration value="Email advice on ECM package (to agency or Treasury Officer)"/>
              <xsd:enumeration value="Email Billet Doux input to Treasury Officer"/>
              <xsd:enumeration value="General inbound  correspondence e.g. miscellaneous documents"/>
              <xsd:enumeration value="&quot;General outbound correspondence e.g. acknowledgements"/>
              <xsd:enumeration value="&quot;"/>
              <xsd:enumeration value="Meeting Record"/>
              <xsd:enumeration value="Notification"/>
              <xsd:enumeration value="OBPR Feedback on Full IAS"/>
              <xsd:enumeration value="OBPR Feedback on Summary IAS"/>
              <xsd:enumeration value="Preliminary Advice"/>
              <xsd:enumeration value="Published Full IAS (Consultation, Decision or Post IAS)"/>
              <xsd:enumeration value="Published Summary IAS"/>
              <xsd:enumeration value="Research, literature and publicly available data"/>
              <xsd:enumeration value="Summary IAS (Drafts)"/>
              <xsd:enumeration value="Supporting materials from agency (e.g. consultant reports, Discussion Papers)"/>
            </xsd:restriction>
          </xsd:simpleType>
        </xsd:union>
      </xsd:simpleType>
    </xsd:element>
    <xsd:element name="ResponsibleOfficer" ma:index="17" nillable="true" ma:displayName="Responsible Officer" ma:format="Dropdown" ma:internalName="ResponsibleOfficer">
      <xsd:simpleType>
        <xsd:union memberTypes="dms:Text">
          <xsd:simpleType>
            <xsd:restriction base="dms:Choice">
              <xsd:enumeration value="Tim Elliott"/>
              <xsd:enumeration value="Megan McCormack"/>
              <xsd:enumeration value="Brian Johnson"/>
              <xsd:enumeration value="Paul Bilyk"/>
              <xsd:enumeration value="Dominic Byrne"/>
              <xsd:enumeration value="Viviane Bui"/>
              <xsd:enumeration value="Christine Tozer"/>
              <xsd:enumeration value="Jordan Hubbard"/>
              <xsd:enumeration value="Unassigned"/>
              <xsd:enumeration value="Sean Mackay"/>
              <xsd:enumeration value="Julian Gould"/>
              <xsd:enumeration value="Mike Margi"/>
              <xsd:enumeration value="Andrew Worthington"/>
              <xsd:enumeration value="Robert Sugden"/>
              <xsd:enumeration value="Peter Coombes"/>
            </xsd:restriction>
          </xsd:simpleType>
        </xsd:union>
      </xsd:simpleType>
    </xsd:element>
    <xsd:element name="AISearchVectors" ma:index="20" nillable="true" ma:displayName="AI Search Vectors" ma:hidden="true" ma:internalName="AISearchVectors" ma:readOnly="false">
      <xsd:simpleType>
        <xsd:restriction base="dms:Note"/>
      </xsd:simpleType>
    </xsd:element>
    <xsd:element name="CoeusKeywords" ma:index="21" nillable="true" ma:displayName="Coeus Keywords" ma:hidden="true" ma:internalName="CoeusKeywords" ma:readOnly="false">
      <xsd:simpleType>
        <xsd:restriction base="dms:Text">
          <xsd:maxLength value="255"/>
        </xsd:restriction>
      </xsd:simpleType>
    </xsd:element>
    <xsd:element name="ANZSICcode" ma:index="22" nillable="true" ma:displayName="ANZSIC code" ma:hidden="true" ma:internalName="ANZSICcode">
      <xsd:complexType>
        <xsd:complexContent>
          <xsd:extension base="dms:MultiChoiceFillIn">
            <xsd:sequence>
              <xsd:element name="Value" maxOccurs="unbounded" minOccurs="0" nillable="true">
                <xsd:simpleType>
                  <xsd:union memberTypes="dms:Text">
                    <xsd:simpleType>
                      <xsd:restriction base="dms:Choice">
                        <xsd:enumeration value="Agriculture, Forestry and Fishing"/>
                        <xsd:enumeration value="Mining"/>
                        <xsd:enumeration value="Manufacturing"/>
                        <xsd:enumeration value="Electricity, Gas, Water and Waste Services"/>
                        <xsd:enumeration value="Construction"/>
                        <xsd:enumeration value="Wholesale Trade"/>
                        <xsd:enumeration value="Retail Trade"/>
                        <xsd:enumeration value="Accommodation and Food Services"/>
                        <xsd:enumeration value="Transport, Postal and Warehousing"/>
                        <xsd:enumeration value="Information Media and Telecommunications"/>
                        <xsd:enumeration value="Financial and Insurance Services"/>
                        <xsd:enumeration value="Rental, Hiring and Real Estate Services"/>
                        <xsd:enumeration value="Professional, Scientific and Technical Services"/>
                        <xsd:enumeration value="Administrative and Support Services"/>
                        <xsd:enumeration value="Public Administration and Safety"/>
                        <xsd:enumeration value="Education and Training"/>
                        <xsd:enumeration value="Health Care and Social Assistance"/>
                        <xsd:enumeration value="Arts and Recreation Services"/>
                        <xsd:enumeration value="Cross-sectoral"/>
                        <xsd:enumeration value="Other Services"/>
                      </xsd:restriction>
                    </xsd:simpleType>
                  </xsd:union>
                </xsd:simpleType>
              </xsd:element>
            </xsd:sequence>
          </xsd:extension>
        </xsd:complexContent>
      </xsd:complexType>
    </xsd:element>
    <xsd:element name="Assignee" ma:index="23" nillable="true" ma:displayName="Assignee" ma:hidden="true" ma:internalName="Assignee" ma:readOnly="false">
      <xsd:simpleType>
        <xsd:restriction base="dms:Text">
          <xsd:maxLength value="255"/>
        </xsd:restriction>
      </xsd:simpleType>
    </xsd:element>
    <xsd:element name="ContainerPath" ma:index="24" nillable="true" ma:displayName="ContainerPath" ma:hidden="true" ma:internalName="ContainerPath" ma:readOnly="false">
      <xsd:simpleType>
        <xsd:restriction base="dms:Text">
          <xsd:maxLength value="255"/>
        </xsd:restriction>
      </xsd:simpleType>
    </xsd:element>
    <xsd:element name="Disposition" ma:index="25" nillable="true" ma:displayName="Disposition" ma:format="Dropdown" ma:hidden="true" ma:internalName="Disposition" ma:readOnly="false">
      <xsd:simpleType>
        <xsd:union memberTypes="dms:Text">
          <xsd:simpleType>
            <xsd:restriction base="dms:Choice">
              <xsd:enumeration value="Active"/>
              <xsd:enumeration value="Inactive"/>
            </xsd:restriction>
          </xsd:simpleType>
        </xsd:union>
      </xsd:simpleType>
    </xsd:element>
    <xsd:element name="ElectronicId" ma:index="26" nillable="true" ma:displayName="ElectronicId" ma:hidden="true" ma:internalName="ElectronicId" ma:readOnly="false">
      <xsd:simpleType>
        <xsd:restriction base="dms:Text">
          <xsd:maxLength value="255"/>
        </xsd:restriction>
      </xsd:simpleType>
    </xsd:element>
    <xsd:element name="FilePlan" ma:index="27" nillable="true" ma:displayName="FilePlan" ma:hidden="true" ma:internalName="FilePlan" ma:readOnly="false">
      <xsd:simpleType>
        <xsd:restriction base="dms:Text">
          <xsd:maxLength value="255"/>
        </xsd:restriction>
      </xsd:simpleType>
    </xsd:element>
    <xsd:element name="Home" ma:index="28" nillable="true" ma:displayName="Home" ma:hidden="true" ma:internalName="Home" ma:readOnly="false">
      <xsd:simpleType>
        <xsd:restriction base="dms:Text">
          <xsd:maxLength value="255"/>
        </xsd:restriction>
      </xsd:simpleType>
    </xsd:element>
    <xsd:element name="Owner" ma:index="29" nillable="true" ma:displayName="Owner" ma:hidden="true" ma:internalName="Owner" ma:readOnly="false">
      <xsd:simpleType>
        <xsd:restriction base="dms:Text">
          <xsd:maxLength value="255"/>
        </xsd:restriction>
      </xsd:simpleType>
    </xsd:element>
    <xsd:element name="RecordNumber" ma:index="30" nillable="true" ma:displayName="RecordNumber" ma:hidden="true" ma:internalName="RecordNumber" ma:readOnly="false">
      <xsd:simpleType>
        <xsd:restriction base="dms:Text">
          <xsd:maxLength value="255"/>
        </xsd:restriction>
      </xsd:simpleType>
    </xsd:element>
    <xsd:element name="RecordType" ma:index="31" nillable="true" ma:displayName="RecordType" ma:format="Dropdown" ma:hidden="true" ma:internalName="RecordType" ma:readOnly="false">
      <xsd:simpleType>
        <xsd:union memberTypes="dms:Text">
          <xsd:simpleType>
            <xsd:restriction base="dms:Choice">
              <xsd:enumeration value="Folder (Container)"/>
              <xsd:enumeration value="Master Folder"/>
              <xsd:enumeration value="Document"/>
              <xsd:enumeration value="Folder"/>
              <xsd:enumeration value="Action Tracker"/>
            </xsd:restriction>
          </xsd:simpleType>
        </xsd:union>
      </xsd:simpleType>
    </xsd:element>
    <xsd:element name="RecordUri" ma:index="32" nillable="true" ma:displayName="RecordUri" ma:hidden="true" ma:internalName="RecordUri" ma:readOnly="false">
      <xsd:simpleType>
        <xsd:restriction base="dms:Text">
          <xsd:maxLength value="255"/>
        </xsd:restriction>
      </xsd:simpleType>
    </xsd:element>
    <xsd:element name="StructuredTitle" ma:index="33" nillable="true" ma:displayName="StructuredTitle" ma:hidden="true" ma:internalName="StructuredTitle" ma:readOnly="false">
      <xsd:simpleType>
        <xsd:restriction base="dms:Text">
          <xsd:maxLength value="255"/>
        </xsd:restriction>
      </xsd:simpleType>
    </xsd:element>
    <xsd:element name="TRIM_x0020_Author" ma:index="34" nillable="true" ma:displayName="TRIM Author" ma:hidden="true" ma:internalName="TRIM_x0020_Author" ma:readOnly="false">
      <xsd:simpleType>
        <xsd:restriction base="dms:Text">
          <xsd:maxLength value="255"/>
        </xsd:restriction>
      </xsd:simpleType>
    </xsd:element>
    <xsd:element name="Audit" ma:index="35" nillable="true" ma:displayName="Audit" ma:hidden="true" ma:internalName="Audit" ma:readOnly="false">
      <xsd:simpleType>
        <xsd:restriction base="dms:Note"/>
      </xsd:simpleType>
    </xsd:element>
    <xsd:element name="Legislation" ma:index="36" nillable="true" ma:displayName="Legislation" ma:hidden="true" ma:internalName="Legislation" ma:readOnly="false">
      <xsd:complexType>
        <xsd:complexContent>
          <xsd:extension base="dms:MultiChoiceFillIn">
            <xsd:sequence>
              <xsd:element name="Value" maxOccurs="unbounded" minOccurs="0" nillable="true">
                <xsd:simpleType>
                  <xsd:union memberTypes="dms:Text">
                    <xsd:simpleType>
                      <xsd:restriction base="dms:Choice">
                        <xsd:enumeration value="Aboriginal and Torres Strait Islander Communities (Justice, Land and Other Matters) Act 1984"/>
                        <xsd:enumeration value="Aboriginal and Torres Strait Islander Communities (Justice, Land and Other Matters) Regulation 2008"/>
                        <xsd:enumeration value="Aboriginal and Torres Strait Islander Land Holding Act 2013"/>
                        <xsd:enumeration value="Aboriginal Cultural Heritage Act 2003"/>
                        <xsd:enumeration value="Aboriginal Land Act 1991"/>
                        <xsd:enumeration value="Aboriginal Land Regulation 2011"/>
                        <xsd:enumeration value="Acquisition of Land Act 1967"/>
                        <xsd:enumeration value="Acts Interpretation (Fee Unit) Regulation 2022"/>
                        <xsd:enumeration value="Acts Interpretation Act 1954"/>
                        <xsd:enumeration value="Adoption Act 2009"/>
                        <xsd:enumeration value="Adoption Regulation 2020"/>
                        <xsd:enumeration value="Agent-General for Queensland Act 1975"/>
                        <xsd:enumeration value="Agents Financial Administration Act 2014"/>
                        <xsd:enumeration value="Agents Financial Administration Regulation 2014"/>
                        <xsd:enumeration value="Agricultural and Veterinary Chemicals (Queensland) Act 1994"/>
                        <xsd:enumeration value="Agricultural Chemicals Distribution Control Act 1966"/>
                        <xsd:enumeration value="Agricultural Chemicals Distribution Control Regulation 2021"/>
                        <xsd:enumeration value="Air Navigation Act 1937"/>
                        <xsd:enumeration value="Airport Assets (Restructuring and Disposal) Act 2008"/>
                        <xsd:enumeration value="Alcan Queensland Pty. Limited Agreement Act 1965"/>
                        <xsd:enumeration value="All Saints Church Lands Act 1924"/>
                        <xsd:enumeration value="All Saints Church Lands Act 1960"/>
                        <xsd:enumeration value="Allan and Stark Burnett Lane Subway Authorisation Act 1926"/>
                        <xsd:enumeration value="Ambulance Service Act 1991"/>
                        <xsd:enumeration value="Ambulance Service Regulation 2015"/>
                        <xsd:enumeration value="Amoco Australia Pty. Limited Agreement Act 1961"/>
                        <xsd:enumeration value="Ampol Refineries Limited Agreement Act 1964"/>
                        <xsd:enumeration value="Anglican Church of Australia (Diocese of Brisbane) Property Act 1889"/>
                        <xsd:enumeration value="Anglican Church of Australia Act 1895"/>
                        <xsd:enumeration value="Anglican Church of Australia Act 1895 Amendment Act 1901"/>
                        <xsd:enumeration value="Anglican Church of Australia Act 1977"/>
                        <xsd:enumeration value="Anglican Church of Australia Constitution Act 1961"/>
                        <xsd:enumeration value="Animal Care and Protection Act 2001"/>
                        <xsd:enumeration value="Animal Care and Protection Regulation 2023"/>
                        <xsd:enumeration value="Animal Management (Cats and Dogs) Act 2008"/>
                        <xsd:enumeration value="Animal Management (Cats and Dogs) Regulation 2019"/>
                        <xsd:enumeration value="Ann Street Presbyterian Church Act 1889"/>
                        <xsd:enumeration value="Anti-Discrimination Act 1991"/>
                        <xsd:enumeration value="Anzac Day Act 1995"/>
                        <xsd:enumeration value="Appeal Costs Fund Act 1973"/>
                        <xsd:enumeration value="Appeal Costs Fund Regulation 2024"/>
                        <xsd:enumeration value="Appropriation (Parliament) Act 2023"/>
                        <xsd:enumeration value="Appropriation (Parliament) Act 2024"/>
                        <xsd:enumeration value="Appropriation (Supplementary 2022–2023) Act 2024"/>
                        <xsd:enumeration value="Appropriation Act 2023"/>
                        <xsd:enumeration value="Appropriation Act 2024"/>
                        <xsd:enumeration value="Architects Act 2002"/>
                        <xsd:enumeration value="Architects Regulation 2019"/>
                        <xsd:enumeration value="Assisted Students (Enforcement of Obligations) Act 1951"/>
                        <xsd:enumeration value="Associations Incorporation Act 1981"/>
                        <xsd:enumeration value="Associations Incorporation Regulation 1999"/>
                        <xsd:enumeration value="Attorney-General Act 1999"/>
                        <xsd:enumeration value="Attorney-General Regulation 2021"/>
                        <xsd:enumeration value="Auditor-General Act 2009"/>
                        <xsd:enumeration value="Australia and New Zealand Banking Group Limited (NMRB) Act 1991"/>
                        <xsd:enumeration value="Australian Catholic University (Queensland) Act 2007"/>
                        <xsd:enumeration value="Australian Constitutions Act 1842"/>
                        <xsd:enumeration value="Australian Constitutions Act 1844"/>
                        <xsd:enumeration value="Australian Consular Officers Notarial Powers and Evidence Act 1946"/>
                        <xsd:enumeration value="Australian Crime Commission (Queensland) Act 2003"/>
                        <xsd:enumeration value="Australian Crime Commission (Queensland) Regulation 2016"/>
                        <xsd:enumeration value="Australian Waste Lands Act 1855"/>
                        <xsd:enumeration value="Austral-Pacific Fertilizers Limited Agreement Act 1967"/>
                        <xsd:enumeration value="Bail Act 1980"/>
                        <xsd:enumeration value="Betting Tax Act 2018"/>
                        <xsd:enumeration value="Biodiscovery Act 2004"/>
                        <xsd:enumeration value="Biodiscovery Regulation 2021"/>
                        <xsd:enumeration value="Biological Control Act 1987"/>
                        <xsd:enumeration value="Biosecurity Act 2014"/>
                        <xsd:enumeration value="Biosecurity Regulation 2016"/>
                        <xsd:enumeration value="Births Deaths and Marriages Registration Act 2023"/>
                        <xsd:enumeration value="Births Deaths and Marriages Registration Regulation 2024"/>
                        <xsd:enumeration value="Births, Deaths and Marriages Registration Act 2003"/>
                        <xsd:enumeration value="Bishopsbourne Estate and See Endowment Trusts Act 1898"/>
                        <xsd:enumeration value="Body Corporate and Community Management (Accommodation Module) Regulation 2020"/>
                        <xsd:enumeration value="Body Corporate and Community Management (Commercial Module) Regulation 2020"/>
                        <xsd:enumeration value="Body Corporate and Community Management (Small Schemes Module) Regulation 2020"/>
                        <xsd:enumeration value="Body Corporate and Community Management (Specified Two-lot Schemes Module) Regulation 2011"/>
                        <xsd:enumeration value="Body Corporate and Community Management (Standard Module) Regulation 2020"/>
                        <xsd:enumeration value="Body Corporate and Community Management Act 1997"/>
                        <xsd:enumeration value="Body Corporate and Community Management Regulation 2008"/>
                        <xsd:enumeration value="Bond University Act 1987"/>
                        <xsd:enumeration value="Boonah Show Ground Act 1914"/>
                        <xsd:enumeration value="Brands Act 1915"/>
                        <xsd:enumeration value="Brands Regulation 2012"/>
                        <xsd:enumeration value="Breakwater Island Casino Agreement Act 1984"/>
                        <xsd:enumeration value="Brisbane Casino Agreement Act 1992"/>
                        <xsd:enumeration value="Brisbane Olympic and Paralympic Games Arrangements Act 2021"/>
                        <xsd:enumeration value="Brisbane Olympic and Paralympic Games Arrangements Regulation 2024"/>
                        <xsd:enumeration value="Brisbane Trades Hall Management Act 1984"/>
                        <xsd:enumeration value="British Probates Act 1898"/>
                        <xsd:enumeration value="British Probates Regulation 2018"/>
                        <xsd:enumeration value="Building Act 1975"/>
                        <xsd:enumeration value="Building and Construction Industry (Portable Long Service Leave) Act 1991"/>
                        <xsd:enumeration value="Building and Construction Industry (Portable Long Service Leave) Regulation 2024"/>
                        <xsd:enumeration value="Building Boost Grant Act 2011"/>
                        <xsd:enumeration value="Building Fire Safety Regulation 2008"/>
                        <xsd:enumeration value="Building Industry Fairness (Security of Payment) Act 2017 — partly uncommenced"/>
                        <xsd:enumeration value="Building Industry Fairness (Security of Payment) Regulation 2018"/>
                        <xsd:enumeration value="Building Regulation 2021"/>
                        <xsd:enumeration value="Building Units and Group Titles Regulation 2008"/>
                        <xsd:enumeration value="Burials Assistance Act 1965"/>
                        <xsd:enumeration value="Business Names (Commonwealth Powers) Act 2011"/>
                        <xsd:enumeration value="Cairns Casino Agreement Act 1993"/>
                        <xsd:enumeration value="Cape York Peninsula Heritage Act 2007"/>
                        <xsd:enumeration value="Carers (Recognition) Act 2008"/>
                        <xsd:enumeration value="Carruthers Inquiry Enabling Act 1996"/>
                        <xsd:enumeration value="Casino Control Act 1982"/>
                        <xsd:enumeration value="Casino Control Regulation 1999"/>
                        <xsd:enumeration value="Cattle Stealing Prevention Act 1853"/>
                        <xsd:enumeration value="Central Queensland Coal Associates Agreement (Amendment) Act 1986"/>
                        <xsd:enumeration value="Central Queensland Coal Associates Agreement Act 1968"/>
                        <xsd:enumeration value="Central Queensland Coal Associates Agreement Amendment Act 1989"/>
                        <xsd:enumeration value="Central Queensland Coal Associates Agreement and Queensland Coal Trust Act 1984"/>
                        <xsd:enumeration value="Central Queensland Coal Associates Agreement Variation Act 1996"/>
                        <xsd:enumeration value="Central Queensland University Act 1998"/>
                        <xsd:enumeration value="Century Zinc Project Act 1997"/>
                        <xsd:enumeration value="Charitable and Non-Profit Gaming Act 1999"/>
                        <xsd:enumeration value="Charitable and Non-Profit Gaming Regulation 1999"/>
                        <xsd:enumeration value="Charitable Funds Act 1958"/>
                        <xsd:enumeration value="Cheaper Power (Supplementary Appropriation) Act 2024"/>
                        <xsd:enumeration value="Chemical Usage (Agricultural and Veterinary) Control Act 1988"/>
                        <xsd:enumeration value="Chemical Usage (Agricultural and Veterinary) Control Regulation 2017"/>
                        <xsd:enumeration value="Child Employment Act 2006"/>
                        <xsd:enumeration value="Child Employment Regulation 2016"/>
                        <xsd:enumeration value="Child Protection (International Measures) Act 2003"/>
                        <xsd:enumeration value="Child Protection (Offender Reporting and Offender Prohibition Order) Act 2004"/>
                        <xsd:enumeration value="Child Protection (Offender Reporting and Offender Prohibition Order) Regulation 2015"/>
                        <xsd:enumeration value="Child Protection Act 1999"/>
                        <xsd:enumeration value="Child Protection Regulation 2023"/>
                        <xsd:enumeration value="Childrens Court Act 1992"/>
                        <xsd:enumeration value="Childrens Court Rules 2016"/>
                        <xsd:enumeration value="Chinese Temple Society Act 1964"/>
                        <xsd:enumeration value="Choice of Law (Limitation Periods) Act 1996"/>
                        <xsd:enumeration value="Churches of Christ, Scientist, Incorporation Act 1964"/>
                        <xsd:enumeration value="City of Brisbane Act 2010"/>
                        <xsd:enumeration value="City of Brisbane Regulation 2012"/>
                        <xsd:enumeration value="Civil Aviation (Carriers' Liability) Act 1964"/>
                        <xsd:enumeration value="Civil Liability Act 2003"/>
                        <xsd:enumeration value="Civil Liability Indexation Notice 2024"/>
                        <xsd:enumeration value="Civil Liability Regulation 2014"/>
                        <xsd:enumeration value="Civil Partnerships Act 2011"/>
                        <xsd:enumeration value="Civil Partnerships Regulation 2023"/>
                        <xsd:enumeration value="Civil Proceedings Act 2011"/>
                        <xsd:enumeration value="Classification of Computer Games and Images Act 1995"/>
                        <xsd:enumeration value="Classification of Films Act 1991"/>
                        <xsd:enumeration value="Classification of Publications Act 1991"/>
                        <xsd:enumeration value="Clean Economy Jobs Act 2024"/>
                        <xsd:enumeration value="Coal Mining Safety and Health Act 1999"/>
                        <xsd:enumeration value="Coal Mining Safety and Health Regulation 2017"/>
                        <xsd:enumeration value="Coastal Protection and Management Act 1995"/>
                        <xsd:enumeration value="Coastal Protection and Management Regulation 2017"/>
                        <xsd:enumeration value="Coexistence Queensland Act 2013"/>
                        <xsd:enumeration value="Collections Act 1966"/>
                        <xsd:enumeration value="Collections Regulation 2008"/>
                        <xsd:enumeration value="Commercial Arbitration Act 2013"/>
                        <xsd:enumeration value="Commissions of Inquiry (Royal Commission into Violence, Abuse, Neglect and Exploitation of People with Disability—Quorum) Regulation 2019"/>
                        <xsd:enumeration value="Commissions of Inquiry Act 1950"/>
                        <xsd:enumeration value="Commonwealth Aluminium Corporation Pty Limited Agreement Act 1957"/>
                        <xsd:enumeration value="Commonwealth Places (Administration of Laws) Act 1970"/>
                        <xsd:enumeration value="Commonwealth Places (Mirror Taxes Administration) Act 1999"/>
                        <xsd:enumeration value="Commonwealth Powers (Air Transport) Act 1950"/>
                        <xsd:enumeration value="Commonwealth Powers (De Facto Relationships) Act 2003"/>
                        <xsd:enumeration value="Commonwealth Powers (Family Law—Children) Act 1990"/>
                        <xsd:enumeration value="Community Ambulance Cover Levy Repeal Act 2011"/>
                        <xsd:enumeration value="Community Based Sentences (Interstate Transfer) Act 2020"/>
                        <xsd:enumeration value="Community Based Sentences (Interstate Transfer) Regulation 2021"/>
                        <xsd:enumeration value="Community Services Act 2007"/>
                        <xsd:enumeration value="Community Services Industry (Portable Long Service Leave) Act 2020"/>
                        <xsd:enumeration value="Community Services Industry (Portable Long Service Leave) Regulation 2020"/>
                        <xsd:enumeration value="Competition Policy Reform (Queensland) Act 1996"/>
                        <xsd:enumeration value="Constitution (Fixed Term Parliament) Referendum Act 2015"/>
                        <xsd:enumeration value="Constitution Act 1867"/>
                        <xsd:enumeration value="Constitution Act Amendment Act 1934"/>
                        <xsd:enumeration value="Constitution of Queensland 2001"/>
                        <xsd:enumeration value="Constitutional Powers (Coastal Waters) Act 1980"/>
                        <xsd:enumeration value="Contract Cleaning Industry (Portable Long Service Leave) Act 2005"/>
                        <xsd:enumeration value="Contract Cleaning Industry (Portable Long Service Leave) Regulation 2015"/>
                        <xsd:enumeration value="Co-operative Schemes (Administrative Actions) Act 2001"/>
                        <xsd:enumeration value="Co-operatives National Law (Queensland)"/>
                        <xsd:enumeration value="Co-operatives National Law Act 2020"/>
                        <xsd:enumeration value="Co-operatives National Law Regulation 2020"/>
                        <xsd:enumeration value="Co-operatives National Regulation (Queensland)"/>
                        <xsd:enumeration value="Coroners Act 2003"/>
                        <xsd:enumeration value="Coroners Regulation 2015"/>
                        <xsd:enumeration value="Corporations (Administrative Actions) Act 2001"/>
                        <xsd:enumeration value="Corporations (Ancillary Provisions) Act 2001"/>
                        <xsd:enumeration value="Corporations (Commonwealth Powers) Act 2001"/>
                        <xsd:enumeration value="Corporations (Queensland) Act 1990"/>
                        <xsd:enumeration value="Corrective Services Act 2006"/>
                        <xsd:enumeration value="Corrective Services Regulation 2017"/>
                        <xsd:enumeration value="Court Funds Act 1973"/>
                        <xsd:enumeration value="COVID-19 Emergency Response Act 2020"/>
                        <xsd:enumeration value="Credit (Commonwealth Powers) Act 2010"/>
                        <xsd:enumeration value="Credit (Rural Finance) Act 1996"/>
                        <xsd:enumeration value="Cremations Act 2003"/>
                        <xsd:enumeration value="Cremations Regulation 2014"/>
                        <xsd:enumeration value="Crime and Corruption Act 2001"/>
                        <xsd:enumeration value="Crime and Corruption Regulation 2015"/>
                        <xsd:enumeration value="Crimes at Sea Act 2001"/>
                        <xsd:enumeration value="Criminal Code (Animal Valuers) Regulation 2014"/>
                        <xsd:enumeration value="Criminal Code (External Agencies) Regulation 2016"/>
                        <xsd:enumeration value="Criminal Code (Prohibited Symbols) Regulation 2024"/>
                        <xsd:enumeration value="Criminal Code Act 1899"/>
                        <xsd:enumeration value="Criminal Code Amendment Act of 1922 (13 Geo V No. 2)"/>
                        <xsd:enumeration value="Criminal Law (Historical Homosexual Convictions Expungement) Act 2017"/>
                        <xsd:enumeration value="Criminal Law (Historical Homosexual Convictions Expungement) Regulation 2018"/>
                        <xsd:enumeration value="Criminal Law (Rehabilitation of Offenders) Act 1986"/>
                        <xsd:enumeration value="Criminal Law (Sexual Offences) Act 1978"/>
                        <xsd:enumeration value="Criminal Law Amendment Act 1892"/>
                        <xsd:enumeration value="Criminal Law Amendment Act 1894"/>
                        <xsd:enumeration value="Criminal Law Amendment Act 1945"/>
                        <xsd:enumeration value="Criminal Law Regulation 2024"/>
                        <xsd:enumeration value="Criminal Practice (Fees and Allowances) Regulation 2021"/>
                        <xsd:enumeration value="Criminal Practice Rules 1999"/>
                        <xsd:enumeration value="Criminal Proceeds Confiscation Act 2002"/>
                        <xsd:enumeration value="Criminal Proceeds Confiscation Regulation 2023"/>
                        <xsd:enumeration value="Cross River Rail Delivery Authority Act 2016"/>
                        <xsd:enumeration value="Cross River Rail Delivery Authority Regulation 2019"/>
                        <xsd:enumeration value="Cross-Border Commissioner Act 2024"/>
                        <xsd:enumeration value="Crown Proceedings Act 1980"/>
                        <xsd:enumeration value="Dalrymple Bay Coal Terminal (Long-term Lease) Act 2001"/>
                        <xsd:enumeration value="Dangerous Prisoners (Sexual Offenders) Act 2003"/>
                        <xsd:enumeration value="Debt Collectors (Field Agents and Collection Agents) Act 2014"/>
                        <xsd:enumeration value="Debt Collectors (Field Agents and Collection Agents) Regulation 2014"/>
                        <xsd:enumeration value="Defamation Act 2005"/>
                        <xsd:enumeration value="Director of Child Protection Litigation Act 2016"/>
                        <xsd:enumeration value="Director of Public Prosecutions Act 1984"/>
                        <xsd:enumeration value="Disability Services Act 2006"/>
                        <xsd:enumeration value="Disability Services Regulation 2017"/>
                        <xsd:enumeration value="Disaster Management Act 2003"/>
                        <xsd:enumeration value="Disaster Management Regulation 2014"/>
                        <xsd:enumeration value="Disposal of Uncollected Goods Act 1967"/>
                        <xsd:enumeration value="Disposal of Unexecuted Warrants Act 1985"/>
                        <xsd:enumeration value="Disposal of Unexecuted Warrants Regulation 2018"/>
                        <xsd:enumeration value="Dispute Resolution Centres Act 1990"/>
                        <xsd:enumeration value="Dispute Resolution Centres Regulation 2019"/>
                        <xsd:enumeration value="District Court of Queensland Act 1967"/>
                        <xsd:enumeration value="District Court of Queensland Regulation 2015"/>
                        <xsd:enumeration value="Domestic and Family Violence Protection Act 2012"/>
                        <xsd:enumeration value="Domestic and Family Violence Protection Regulation 2023"/>
                        <xsd:enumeration value="Domestic and Family Violence Protection Rules 2014"/>
                        <xsd:enumeration value="Domicile Act 1981"/>
                        <xsd:enumeration value="Drugs Misuse Act 1986"/>
                        <xsd:enumeration value="Drugs Misuse Regulation 1987"/>
                        <xsd:enumeration value="Duties Act 2001"/>
                        <xsd:enumeration value="Duties Regulation 2023"/>
                        <xsd:enumeration value="Economic Development (Vegetation Management) By-law 2023"/>
                        <xsd:enumeration value="Economic Development Act 2012"/>
                        <xsd:enumeration value="Economic Development Regulation 2023"/>
                        <xsd:enumeration value="Education (Accreditation of Non-State Schools) Act 2017"/>
                        <xsd:enumeration value="Education (Accreditation of Non-State Schools) Regulation 2017"/>
                        <xsd:enumeration value="Education (Capital Assistance) Act 1993"/>
                        <xsd:enumeration value="Education (Capital Assistance) Regulation 2015"/>
                        <xsd:enumeration value="Education (General Provisions) Act 2006"/>
                        <xsd:enumeration value="Education (General Provisions) Regulation 2017"/>
                        <xsd:enumeration value="Education (Overseas Students) Act 2018"/>
                        <xsd:enumeration value="Education (Overseas Students) Regulation 2018"/>
                        <xsd:enumeration value="Education (Queensland College of Teachers) Act 2005"/>
                        <xsd:enumeration value="Education (Queensland College of Teachers) Regulation 2016"/>
                        <xsd:enumeration value="Education (Queensland Curriculum and Assessment Authority) Act 2014"/>
                        <xsd:enumeration value="Education (Queensland Curriculum and Assessment Authority) Regulation 2014"/>
                        <xsd:enumeration value="Education (Work Experience) Act 1996"/>
                        <xsd:enumeration value="Education and Care Services Act 2013"/>
                        <xsd:enumeration value="Education and Care Services National Law (Queensland)"/>
                        <xsd:enumeration value="Education and Care Services National Law (Queensland) Act 2011"/>
                        <xsd:enumeration value="Education and Care Services National Law (Queensland) Regulation 2022"/>
                        <xsd:enumeration value="Education and Care Services National Regulations"/>
                        <xsd:enumeration value="Education and Care Services Regulation 2013"/>
                        <xsd:enumeration value="Electoral Act 1992"/>
                        <xsd:enumeration value="Electoral Regulation 2024"/>
                        <xsd:enumeration value="Electrical Safety (Codes of Practice) Notice 2024"/>
                        <xsd:enumeration value="Electrical Safety Act 2002"/>
                        <xsd:enumeration value="Electrical Safety Regulation 2013"/>
                        <xsd:enumeration value="Electricity Act 1994"/>
                        <xsd:enumeration value="Electricity Regulation 2006"/>
                        <xsd:enumeration value="Electricity—National Scheme (Queensland) Act 1997"/>
                        <xsd:enumeration value="Electricity—National Scheme (Queensland) Regulation 2014"/>
                        <xsd:enumeration value="Electronic Conveyancing National Law (Queensland)"/>
                        <xsd:enumeration value="Electronic Conveyancing National Law (Queensland) Act 2013"/>
                        <xsd:enumeration value="Electronic Transactions (Queensland) Act 2001"/>
                        <xsd:enumeration value="Emblems of Queensland Act 2005"/>
                        <xsd:enumeration value="Energy (Renewable Transformation and Jobs) Act 2024"/>
                        <xsd:enumeration value="Energy (Renewable Transformation and Jobs) Regulation 2024"/>
                        <xsd:enumeration value="Energy and Water Ombudsman Act 2006"/>
                        <xsd:enumeration value="Energy and Water Ombudsman Regulation 2022"/>
                        <xsd:enumeration value="Environmental Offsets Act 2014"/>
                        <xsd:enumeration value="Environmental Offsets Regulation 2014"/>
                        <xsd:enumeration value="Environmental Protection (Air) Policy 2019"/>
                        <xsd:enumeration value="Environmental Protection (Noise) Policy 2019"/>
                        <xsd:enumeration value="Environmental Protection (Water and Wetland Biodiversity) Policy 2019"/>
                        <xsd:enumeration value="Environmental Protection Act 1994"/>
                        <xsd:enumeration value="Environmental Protection Regulation 2019"/>
                        <xsd:enumeration value="Evidence (Attestation of Documents) Act 1937"/>
                        <xsd:enumeration value="Evidence Act 1977"/>
                        <xsd:enumeration value="Evidence and Discovery Act 1867"/>
                        <xsd:enumeration value="Evidence on Commission Act 1988"/>
                        <xsd:enumeration value="Evidence Regulation 2017"/>
                        <xsd:enumeration value="Exhibited Animals Act 2015"/>
                        <xsd:enumeration value="Exhibited Animals Regulation 2016"/>
                        <xsd:enumeration value="Explosives Act 1999"/>
                        <xsd:enumeration value="Explosives Regulation 2017"/>
                        <xsd:enumeration value="Factors Act 1892"/>
                        <xsd:enumeration value="Fair Trading (Code of Practice—Fitness Industry) Regulation 2003"/>
                        <xsd:enumeration value="Fair Trading (Fuel Price Board) Regulation 2017"/>
                        <xsd:enumeration value="Fair Trading (Fuel Price Reporting) Regulation 2018"/>
                        <xsd:enumeration value="Fair Trading (Funeral Pricing) Regulation 2022"/>
                        <xsd:enumeration value="Fair Trading (Safety Standards) Regulation 2011"/>
                        <xsd:enumeration value="Fair Trading Act 1989"/>
                        <xsd:enumeration value="Fair Trading Inspectors Act 2014"/>
                        <xsd:enumeration value="Fair Work (Commonwealth Powers) and Other Provisions Act 2009"/>
                        <xsd:enumeration value="Family and Child Commission Act 2014"/>
                        <xsd:enumeration value="Family Responsibilities Commission Act 2008"/>
                        <xsd:enumeration value="Family Responsibilities Commission Regulation 2014"/>
                        <xsd:enumeration value="Farm Business Debt Mediation Act 2017"/>
                        <xsd:enumeration value="Farm Business Debt Mediation Regulation 2017"/>
                        <xsd:enumeration value="Federal Courts (State Jurisdiction) Act 1999"/>
                        <xsd:enumeration value="Financial Accountability Act 2009"/>
                        <xsd:enumeration value="Financial Accountability Regulation 2019"/>
                        <xsd:enumeration value="Financial Agreement Act 1994"/>
                        <xsd:enumeration value="Financial and Performance Management Standard 2019"/>
                        <xsd:enumeration value="Financial Intermediaries Act 1996"/>
                        <xsd:enumeration value="Financial Intermediaries Regulation 2018"/>
                        <xsd:enumeration value="Financial Sector Reform (Queensland) Act 1999"/>
                        <xsd:enumeration value="Financial Transaction Reports Act 1992"/>
                        <xsd:enumeration value="Fire Services Act 1990"/>
                        <xsd:enumeration value="Fire Services Regulation 2011"/>
                        <xsd:enumeration value="First Home Owner Grant and Other Home Owner Grants Act 2000"/>
                        <xsd:enumeration value="First Home Owner Grant and Other Home Owner Grants Regulation 2021"/>
                        <xsd:enumeration value="Fisheries (Commercial Fisheries) Regulation 2019"/>
                        <xsd:enumeration value="Fisheries (General) Regulation 2019"/>
                        <xsd:enumeration value="Fisheries Act 1994"/>
                        <xsd:enumeration value="Fisheries Declaration 2019"/>
                        <xsd:enumeration value="Fisheries Quota Declaration 2019"/>
                        <xsd:enumeration value="Food Act 2006"/>
                        <xsd:enumeration value="Food Production (Safety) Act 2000"/>
                        <xsd:enumeration value="Food Production (Safety) Regulation 2014"/>
                        <xsd:enumeration value="Food Regulation 2016"/>
                        <xsd:enumeration value="Foreign Ownership of Land Register Act 1988"/>
                        <xsd:enumeration value="Forensic Disability Act 2011"/>
                        <xsd:enumeration value="Forensic Disability Regulation 2022"/>
                        <xsd:enumeration value="Forensic Science Queensland Act 2024"/>
                        <xsd:enumeration value="Forest Wind Farm Development Act 2020"/>
                        <xsd:enumeration value="Forestry (State Forests) Regulation 1987"/>
                        <xsd:enumeration value="Forestry Act 1959"/>
                        <xsd:enumeration value="Forestry Regulation 2015"/>
                        <xsd:enumeration value="Fossicking Act 1994"/>
                        <xsd:enumeration value="Fossicking Regulation 2019"/>
                        <xsd:enumeration value="Fuel Subsidy Repeal Act 2009"/>
                        <xsd:enumeration value="Funeral Benefit Business Act 1982"/>
                        <xsd:enumeration value="Funeral Benefit Business Regulation 2010"/>
                        <xsd:enumeration value="Further Education and Training Act 2014"/>
                        <xsd:enumeration value="Further Education and Training Regulation 2024"/>
                        <xsd:enumeration value="Gaming Machine Act 1991"/>
                        <xsd:enumeration value="Gaming Machine Regulation 2002"/>
                        <xsd:enumeration value="Gas Supply Act 2003"/>
                        <xsd:enumeration value="Gas Supply Regulation 2007"/>
                        <xsd:enumeration value="Gasfields Commission Act 2013"/>
                        <xsd:enumeration value="Gene Technology (Queensland) Act 2016"/>
                        <xsd:enumeration value="Geothermal Energy Act 2010"/>
                        <xsd:enumeration value="Geothermal Energy Regulation 2022"/>
                        <xsd:enumeration value="Gladstone Power Station Agreement Act 1993"/>
                        <xsd:enumeration value="Gladstone Power Station Agreement Regulation 2016"/>
                        <xsd:enumeration value="Gold Coast Waterways Authority Act 2012"/>
                        <xsd:enumeration value="Gold Coast Waterways Authority Regulation 2022"/>
                        <xsd:enumeration value="Government Owned Corporations (Energy Consolidation) Regulation 2016"/>
                        <xsd:enumeration value="Government Owned Corporations (Generator Restructure—CleanCo) Regulation 2019"/>
                        <xsd:enumeration value="Government Owned Corporations (Pumped Hydro Energy Storage Restructure) Regulation 2022"/>
                        <xsd:enumeration value="Government Owned Corporations Act 1993"/>
                        <xsd:enumeration value="Governors (Salary and Pensions) Act 2003"/>
                        <xsd:enumeration value="Governors (Salary and Pensions) Regulation 2023"/>
                        <xsd:enumeration value="Grammar Schools Act 2016"/>
                        <xsd:enumeration value="Grammar Schools Regulation 2016"/>
                        <xsd:enumeration value="Greenhouse Gas Storage Act 2009"/>
                        <xsd:enumeration value="Greenhouse Gas Storage Regulation 2021"/>
                        <xsd:enumeration value="Griffith University Act 1998"/>
                        <xsd:enumeration value="GST and Related Matters Act 2000"/>
                        <xsd:enumeration value="Guardianship and Administration Act 2000"/>
                        <xsd:enumeration value="Guardianship and Administration Regulation 2022"/>
                        <xsd:enumeration value="Guide, Hearing and Assistance Dogs Act 2009"/>
                        <xsd:enumeration value="Guide, Hearing and Assistance Dogs Regulation 2019"/>
                        <xsd:enumeration value="Guides Queensland Act 1970"/>
                        <xsd:enumeration value="Health and Wellbeing Queensland Act 2019"/>
                        <xsd:enumeration value="Health Ombudsman Act 2013"/>
                        <xsd:enumeration value="Health Practitioner Regulation National Law (Queensland)"/>
                        <xsd:enumeration value="Health Practitioner Regulation National Law Act 2009"/>
                        <xsd:enumeration value="Health Practitioner Regulation National Law Regulation 2018"/>
                        <xsd:enumeration value="Health Transparency Act 2019"/>
                        <xsd:enumeration value="Health Transparency Regulation 2020"/>
                        <xsd:enumeration value="Heavy Vehicle (Fatigue Management) National Regulation"/>
                        <xsd:enumeration value="Heavy Vehicle (General) National Regulation"/>
                        <xsd:enumeration value="Heavy Vehicle (Mass, Dimension and Loading) National Regulation"/>
                        <xsd:enumeration value="Heavy Vehicle (Registration) National Regulation"/>
                        <xsd:enumeration value="Heavy Vehicle (Vehicle Standards) National Regulation"/>
                        <xsd:enumeration value="Heavy Vehicle National Law (Queensland)"/>
                        <xsd:enumeration value="Heavy Vehicle National Law Act 2012"/>
                        <xsd:enumeration value="Heavy Vehicle National Law Regulation 2014"/>
                        <xsd:enumeration value="Help to Buy (Commonwealth Powers) Act 2024"/>
                        <xsd:enumeration value="Holidays Act 1983"/>
                        <xsd:enumeration value="Hospital and Health Boards (Nursing and Midwifery Workload Management Standard) Notice 2016"/>
                        <xsd:enumeration value="Hospital and Health Boards Act 2011"/>
                        <xsd:enumeration value="Hospital and Health Boards Regulation 2023"/>
                        <xsd:enumeration value="Hospital Foundations Act 2018"/>
                        <xsd:enumeration value="Hospital Foundations Regulation 2018"/>
                        <xsd:enumeration value="Housing (Freeholding of Land) Act 1957"/>
                        <xsd:enumeration value="Housing (Freeholding of Land) Regulation 2017"/>
                        <xsd:enumeration value="Housing Act 2003"/>
                        <xsd:enumeration value="Housing Regulation 2015"/>
                        <xsd:enumeration value="Human Rights Act 2019"/>
                        <xsd:enumeration value="Human Rights Regulation 2020"/>
                        <xsd:enumeration value="Imperial Acts Application Act 1984"/>
                        <xsd:enumeration value="Implementation of The Spit Master Plan Act 2020"/>
                        <xsd:enumeration value="Inala Shopping Centre Freeholding Act 2006"/>
                        <xsd:enumeration value="Industrial Relations (Tribunals) Rules 2011"/>
                        <xsd:enumeration value="Industrial Relations Act 2016"/>
                        <xsd:enumeration value="Industrial Relations Regulation 2018"/>
                        <xsd:enumeration value="Information Privacy Act 2009"/>
                        <xsd:enumeration value="Information Privacy Regulation 2009"/>
                        <xsd:enumeration value="Infrastructure Investment (Asset Restructuring and Disposal) Act 2009"/>
                        <xsd:enumeration value="Inspector of Detention Services Act 2022"/>
                        <xsd:enumeration value="Inspector of Detention Services Regulation 2023"/>
                        <xsd:enumeration value="Integrated Resort Development Act 1987"/>
                        <xsd:enumeration value="Integrity Act 2009"/>
                        <xsd:enumeration value="Integrity Regulation 2024"/>
                        <xsd:enumeration value="Interactive Gambling (Player Protection) Act 1998"/>
                        <xsd:enumeration value="Interactive Gambling (Player Protection) Regulation 1998"/>
                        <xsd:enumeration value="Introduction Agents Act 2001"/>
                        <xsd:enumeration value="Introduction Agents Regulation 2018"/>
                        <xsd:enumeration value="Invasion of Privacy Act 1971"/>
                        <xsd:enumeration value="Ipswich Trades Hall Act 1986"/>
                        <xsd:enumeration value="James Cook University Act 1997"/>
                        <xsd:enumeration value="Jobs Queensland Act 2015"/>
                        <xsd:enumeration value="Judges (Pensions and Long Leave) Act 1957"/>
                        <xsd:enumeration value="Judicial Remuneration Act 2007"/>
                        <xsd:enumeration value="Judicial Review Act 1991"/>
                        <xsd:enumeration value="Jupiters Casino Agreement Act 1983"/>
                        <xsd:enumeration value="Jurisdiction of Courts (Cross-vesting) Act 1987"/>
                        <xsd:enumeration value="Jury Act 1995"/>
                        <xsd:enumeration value="Jury Regulation 2017"/>
                        <xsd:enumeration value="Justice and Other Information Disclosure Act 2008"/>
                        <xsd:enumeration value="Justices Act 1886"/>
                        <xsd:enumeration value="Justices of the Peace and Commissioners for Declarations Act 1991"/>
                        <xsd:enumeration value="Justices of the Peace and Commissioners for Declarations Regulation 2017"/>
                        <xsd:enumeration value="Justices Regulation 2014"/>
                        <xsd:enumeration value="Keno Act 1996"/>
                        <xsd:enumeration value="Keno Regulation 2007"/>
                        <xsd:enumeration value="Labour Hire Licensing Act 2017"/>
                        <xsd:enumeration value="Labour Hire Licensing Regulation 2018"/>
                        <xsd:enumeration value="Lake Eyre Basin Agreement Act 2001"/>
                        <xsd:enumeration value="Land Access Ombudsman Act 2017"/>
                        <xsd:enumeration value="Land Act 1994"/>
                        <xsd:enumeration value="Land Court Act 2000"/>
                        <xsd:enumeration value="Land Court Regulation 2021"/>
                        <xsd:enumeration value="Land Court Rules 2022"/>
                        <xsd:enumeration value="Land Regulation 2020"/>
                        <xsd:enumeration value="Land Sales Act 1984"/>
                        <xsd:enumeration value="Land Tax Act 2010"/>
                        <xsd:enumeration value="Land Tax Regulation 2021"/>
                        <xsd:enumeration value="Land Title Act 1994"/>
                        <xsd:enumeration value="Land Title Regulation 2022"/>
                        <xsd:enumeration value="Land Valuation Act 2010"/>
                        <xsd:enumeration value="Law Reform Act 1995"/>
                        <xsd:enumeration value="Law Reform Commission Act 1968"/>
                        <xsd:enumeration value="Legal Aid Queensland Act 1997"/>
                        <xsd:enumeration value="Legal Aid Queensland Regulation 2023"/>
                        <xsd:enumeration value="Legal Profession (Australian Solicitors Conduct Rules) Notice 2022"/>
                        <xsd:enumeration value="Legal Profession (Barristers Rules) Notice 2018"/>
                        <xsd:enumeration value="Legal Profession (Society Rules) Notice 2017"/>
                        <xsd:enumeration value="Legal Profession Act 2007"/>
                        <xsd:enumeration value="Legal Profession Regulation 2017"/>
                        <xsd:enumeration value="Legislative Standards Act 1992"/>
                        <xsd:enumeration value="Libraries Act 1988"/>
                        <xsd:enumeration value="Limitation of Actions Act 1974"/>
                        <xsd:enumeration value="Liquid Fuel Supply Act 1984"/>
                        <xsd:enumeration value="Liquid Fuel Supply Regulation 2016"/>
                        <xsd:enumeration value="Liquor (Approval of Adult Entertainment Code) Regulation 2002"/>
                        <xsd:enumeration value="Liquor Act 1992"/>
                        <xsd:enumeration value="Liquor Regulation 2002"/>
                        <xsd:enumeration value="Local Government (Robina Central Planning Agreement) Act 1992"/>
                        <xsd:enumeration value="Local Government Act 2009"/>
                        <xsd:enumeration value="Local Government Electoral Act 2011"/>
                        <xsd:enumeration value="Local Government Electoral Regulation 2023"/>
                        <xsd:enumeration value="Local Government Regulation 2012"/>
                        <xsd:enumeration value="Lotteries Act 1997"/>
                        <xsd:enumeration value="Lotteries Regulation 2007"/>
                        <xsd:enumeration value="Magistrates Act 1991"/>
                        <xsd:enumeration value="Magistrates Courts Act 1921"/>
                        <xsd:enumeration value="Magistrates Regulation 2023"/>
                        <xsd:enumeration value="Maintenance Act 1965"/>
                        <xsd:enumeration value="Maintenance Regulations 1967"/>
                        <xsd:enumeration value="Major Events (Motor Racing Events) Regulation 2015"/>
                        <xsd:enumeration value="Major Events (Pacific Airshow Gold Coast) Regulation 2024"/>
                        <xsd:enumeration value="Major Events Act 2014"/>
                        <xsd:enumeration value="Major Sports Facilities Act 2001"/>
                        <xsd:enumeration value="Major Sports Facilities Regulation 2014"/>
                        <xsd:enumeration value="Manufactured Homes (Residential Parks) Act 2003"/>
                        <xsd:enumeration value="Manufactured Homes (Residential Parks) Regulation 2017"/>
                        <xsd:enumeration value="Marine Parks (Declaration) Regulation 2006"/>
                        <xsd:enumeration value="Marine Parks (Great Barrier Reef Coast) Zoning Plan 2004"/>
                        <xsd:enumeration value="Marine Parks (Great Sandy) Zoning Plan 2024"/>
                        <xsd:enumeration value="Marine Parks (Moreton Bay) Zoning Plan 2019"/>
                        <xsd:enumeration value="Marine Parks Act 2004"/>
                        <xsd:enumeration value="Marine Parks Regulation 2017"/>
                        <xsd:enumeration value="Marine Rescue Queensland Act 2024"/>
                        <xsd:enumeration value="Maritime Safety Queensland Act 2002"/>
                        <xsd:enumeration value="Mater Public Health Services Act 2008"/>
                        <xsd:enumeration value="Medicines and Poisons (Medicines) Regulation 2021"/>
                        <xsd:enumeration value="Medicines and Poisons (Pest Management Activities) Regulation 2021"/>
                        <xsd:enumeration value="Medicines and Poisons (Poisons and Prohibited Substances) Regulation 2021"/>
                        <xsd:enumeration value="Medicines and Poisons Act 2019"/>
                        <xsd:enumeration value="Mental Health Act 2016"/>
                        <xsd:enumeration value="Mental Health Regulation 2017"/>
                        <xsd:enumeration value="Mercantile Act 1867"/>
                        <xsd:enumeration value="Meriba Omasker Kaziw Kazipa (Torres Strait Islander Traditional Child Rearing Practice) Act 2020"/>
                        <xsd:enumeration value="Meriba Omasker Kaziw Kazipa (Torres Strait Islander Traditional Child Rearing Practice) Regulation 2021"/>
                        <xsd:enumeration value="Mineral and Energy Resources (Common Provisions) Act 2014"/>
                        <xsd:enumeration value="Mineral and Energy Resources (Common Provisions) Regulation 2016"/>
                        <xsd:enumeration value="Mineral and Energy Resources (Financial Provisioning) Act 2018"/>
                        <xsd:enumeration value="Mineral and Energy Resources (Financial Provisioning) Regulation 2019"/>
                        <xsd:enumeration value="Mineral Resources Act 1989"/>
                        <xsd:enumeration value="Mineral Resources Regulation 2013"/>
                        <xsd:enumeration value="Mining and Quarrying Safety and Health Act 1999"/>
                        <xsd:enumeration value="Mining and Quarrying Safety and Health Regulation 2017"/>
                        <xsd:enumeration value="Ministerial and Other Office Holder Staff Act 2010"/>
                        <xsd:enumeration value="Mixed Use Development Act 1993"/>
                        <xsd:enumeration value="Monitoring of Places of Detention (Optional Protocol to the Convention Against Torture) Act 2023"/>
                        <xsd:enumeration value="Motor Accident Insurance Act 1994"/>
                        <xsd:enumeration value="Motor Accident Insurance Indexation Notice 2024"/>
                        <xsd:enumeration value="Motor Accident Insurance Regulation 2018"/>
                        <xsd:enumeration value="Motor Dealers and Chattel Auctioneers Act 2014"/>
                        <xsd:enumeration value="Motor Dealers and Chattel Auctioneers Regulation 2014"/>
                        <xsd:enumeration value="Mount Isa Mines Limited Agreement Act 1985"/>
                        <xsd:enumeration value="Mt. Gravatt Showgrounds Act 1988"/>
                        <xsd:enumeration value="Multicultural Recognition Act 2016"/>
                        <xsd:enumeration value="Mutual Recognition (Queensland) Act 1992"/>
                        <xsd:enumeration value="Mutual Recognition (Queensland) Regulation 2009"/>
                        <xsd:enumeration value="National Electricity (Queensland) Law"/>
                        <xsd:enumeration value="National Energy Retail Law (Queensland)"/>
                        <xsd:enumeration value="National Energy Retail Law (Queensland) Act 2014"/>
                        <xsd:enumeration value="National Energy Retail Law (Queensland) Regulation 2014"/>
                        <xsd:enumeration value="National Environment Protection Council (Queensland) Act 1994"/>
                        <xsd:enumeration value="National Gas (Queensland) Act 2008"/>
                        <xsd:enumeration value="National Gas (Queensland) Law"/>
                        <xsd:enumeration value="National Gas (Queensland) Regulation 2014"/>
                        <xsd:enumeration value="National Injury Insurance Scheme (Queensland) Act 2016"/>
                        <xsd:enumeration value="National Injury Insurance Scheme (Queensland) Regulation 2016"/>
                        <xsd:enumeration value="National Redress Scheme for Institutional Child Sexual Abuse (Commonwealth Powers) Act 2018"/>
                        <xsd:enumeration value="National Redress Scheme for Institutional Child Sexual Abuse (Commonwealth Powers) Regulation 2019"/>
                        <xsd:enumeration value="Native Title (Queensland) Act 1993"/>
                        <xsd:enumeration value="Nature Conservation (Animals) Regulation 2020"/>
                        <xsd:enumeration value="Nature Conservation (Estuarine Crocodile) Conservation Plan 2018"/>
                        <xsd:enumeration value="Nature Conservation (Forest Reserves) Regulation 2000"/>
                        <xsd:enumeration value="Nature Conservation (Koala) Conservation Plan 2017"/>
                        <xsd:enumeration value="Nature Conservation (Macropod) Conservation Plan 2017"/>
                        <xsd:enumeration value="Nature Conservation (Plants) Regulation 2020"/>
                        <xsd:enumeration value="Nature Conservation (Protected Areas Management) Regulation 2017"/>
                        <xsd:enumeration value="Nature Conservation (Protected Areas) Regulation 1994"/>
                        <xsd:enumeration value="Nature Conservation Act 1992"/>
                        <xsd:enumeration value="Neighbourhood Disputes (Dividing Fences and Trees) Act 2011"/>
                        <xsd:enumeration value="New South Wales-Queensland Border Rivers Act 1946"/>
                        <xsd:enumeration value="Newstead House Trust Act 1939"/>
                        <xsd:enumeration value="Night-Life Economy Commissioner Act 2024"/>
                        <xsd:enumeration value="North Stradbroke Island Protection and Sustainability Act 2011"/>
                        <xsd:enumeration value="Nuclear Facilities Prohibition Act 2007"/>
                        <xsd:enumeration value="Oaths Act 1867"/>
                        <xsd:enumeration value="Oaths Regulation 2022"/>
                        <xsd:enumeration value="Occupational Licensing National Law (Queensland) Act 2010 — partly uncommenced"/>
                        <xsd:enumeration value="Off-shore Facilities Act 1986"/>
                        <xsd:enumeration value="Offshore Minerals Act 1998"/>
                        <xsd:enumeration value="Ombudsman Act 2001"/>
                        <xsd:enumeration value="Parliament of Queensland Act 2001"/>
                        <xsd:enumeration value="Parliamentary Service Act 1988"/>
                        <xsd:enumeration value="Parliamentary Service By-law 2023"/>
                        <xsd:enumeration value="Parliamentary Service Rule 2021"/>
                        <xsd:enumeration value="Parole Orders (Transfer) Act 1984"/>
                        <xsd:enumeration value="Partnership Act 1891"/>
                        <xsd:enumeration value="Partnership Regulation 2015"/>
                        <xsd:enumeration value="Pastoral Workers' Accommodation Act 1980"/>
                        <xsd:enumeration value="Pastoral Workers' Accommodation Regulation 2015"/>
                        <xsd:enumeration value="Path to Treaty Act 2023"/>
                        <xsd:enumeration value="Payroll Tax Act 1971"/>
                        <xsd:enumeration value="Payroll Tax Regulation 2019"/>
                        <xsd:enumeration value="Peace and Good Behaviour Act 1982"/>
                        <xsd:enumeration value="Peace and Good Behaviour Regulation 2020"/>
                        <xsd:enumeration value="Peaceful Assembly Act 1992"/>
                        <xsd:enumeration value="Penalties and Sentences Act 1992"/>
                        <xsd:enumeration value="Penalties and Sentences Regulation 2015"/>
                        <xsd:enumeration value="Personal Injuries Proceedings Act 2002"/>
                        <xsd:enumeration value="Personal Injuries Proceedings Indexation Notice 2024"/>
                        <xsd:enumeration value="Personal Injuries Proceedings Regulation 2014"/>
                        <xsd:enumeration value="Personal Property Securities (Ancillary Provisions) Act 2010"/>
                        <xsd:enumeration value="Personal Property Securities (Commonwealth Powers) Act 2009 — partly uncommenced"/>
                        <xsd:enumeration value="Petroleum (Submerged Lands) Act 1982"/>
                        <xsd:enumeration value="Petroleum Act 1923"/>
                        <xsd:enumeration value="Petroleum and Gas (General Provisions) Regulation 2017"/>
                        <xsd:enumeration value="Petroleum and Gas (Production and Safety) Act 2004"/>
                        <xsd:enumeration value="Petroleum and Gas (Royalty) Regulation 2021"/>
                        <xsd:enumeration value="Petroleum and Gas (Safety) Regulation 2018"/>
                        <xsd:enumeration value="Pharmacy Business Ownership Act 2001"/>
                        <xsd:enumeration value="Photo Identification Card Act 2008"/>
                        <xsd:enumeration value="Photo Identification Card Regulation 2019"/>
                        <xsd:enumeration value="Place Names Act 1994"/>
                        <xsd:enumeration value="Place Names Regulation 2015"/>
                        <xsd:enumeration value="Planning Act 2016"/>
                        <xsd:enumeration value="Planning and Environment Court Act 2016"/>
                        <xsd:enumeration value="Planning and Environment Court Rules 2018"/>
                        <xsd:enumeration value="Planning Regulation 2017"/>
                        <xsd:enumeration value="Plumbing and Drainage Act 2018"/>
                        <xsd:enumeration value="Plumbing and Drainage Regulation 2019"/>
                        <xsd:enumeration value="Police Powers and Responsibilities Act 2000"/>
                        <xsd:enumeration value="Police Powers and Responsibilities Regulation 2012"/>
                        <xsd:enumeration value="Police Service Administration Act 1990"/>
                        <xsd:enumeration value="Police Service Administration Regulation 2016"/>
                        <xsd:enumeration value="Powers of Attorney Act 1998"/>
                        <xsd:enumeration value="Presbyterian Church of Australia Act 1900"/>
                        <xsd:enumeration value="Presbyterian Church of Australia Act 1971"/>
                        <xsd:enumeration value="Printing and Newspapers Act 1981"/>
                        <xsd:enumeration value="Prisoners (Interstate Transfer) Act 1982"/>
                        <xsd:enumeration value="Prisoners (Interstate Transfer) Regulation 1993"/>
                        <xsd:enumeration value="Prisoners International Transfer (Queensland) Act 1997"/>
                        <xsd:enumeration value="Private Employment Agents (Code of Conduct) Regulation 2015"/>
                        <xsd:enumeration value="Private Employment Agents Act 2005"/>
                        <xsd:enumeration value="Private Health Facilities (Standards) Notice 2016"/>
                        <xsd:enumeration value="Private Health Facilities Act 1999"/>
                        <xsd:enumeration value="Private Health Facilities Regulation 2016"/>
                        <xsd:enumeration value="Professional Engineers Act 2002"/>
                        <xsd:enumeration value="Professional Engineers Regulation 2019"/>
                        <xsd:enumeration value="Professional Standards (Association of Consulting Surveyors National Professional Standards Scheme) Notice 2020"/>
                        <xsd:enumeration value="Professional Standards (Australian Computer Society Professional Standards Scheme) Notice 2019"/>
                        <xsd:enumeration value="Professional Standards (Australian Property Institute Valuers Limited Professional Standards Scheme) Notice 2021"/>
                        <xsd:enumeration value="Professional Standards (Bar Association of Queensland Professional Standards Scheme) Notice 2024"/>
                        <xsd:enumeration value="Professional Standards (Chartered Accountants Australia and New Zealand Professional Standards Scheme) Notice 2019"/>
                        <xsd:enumeration value="Professional Standards (Law Institute of Victoria Limited Professional Standards Scheme) Notice 2022"/>
                        <xsd:enumeration value="Professional Standards (Law Society of South Australia Professional Standards Scheme) Notice 2022"/>
                        <xsd:enumeration value="Professional Standards (Law Society of Western Australia Professional Standards Scheme) Notice 2024"/>
                        <xsd:enumeration value="Professional Standards (New South Wales Bar Association Professional Standards Scheme) Notice 2020"/>
                        <xsd:enumeration value="Professional Standards (RICS Valuers Ltd Scheme) Notice 2015"/>
                        <xsd:enumeration value="Professional Standards (RICS Valuers Ltd Scheme) Notice 2017"/>
                        <xsd:enumeration value="Professional Standards (South Australian Bar Association Professional Standards Scheme) Notice 2022"/>
                        <xsd:enumeration value="Professional Standards (The Australian Institute of Building Surveyors Professional Standards Scheme) Notice 2021"/>
                        <xsd:enumeration value="Professional Standards (The CPA Australia Ltd Professional Standards (Accountants) Scheme) Notice 2019"/>
                        <xsd:enumeration value="Professional Standards (The Institute of Public Accountants Professional Standards Scheme) Notice 2021"/>
                        <xsd:enumeration value="Professional Standards (The Law Society of New South Wales Professional Standards Scheme) Notice 2018"/>
                        <xsd:enumeration value="Professional Standards (The Queensland Law Society Professional Standards Scheme) Notice 2021"/>
                        <xsd:enumeration value="Professional Standards (Victorian Bar Professional Standards Scheme) Notice 2019"/>
                        <xsd:enumeration value="Professional Standards (Western Australian Bar Association Professional Standards Scheme) Notice 2020"/>
                        <xsd:enumeration value="Professional Standards Act 2004"/>
                        <xsd:enumeration value="Professional Standards Regulation 2017"/>
                        <xsd:enumeration value="Property Law Act 1974"/>
                        <xsd:enumeration value="Property Law Act 2023"/>
                        <xsd:enumeration value="Property Law Regulation 2013"/>
                        <xsd:enumeration value="Property Occupations Act 2014"/>
                        <xsd:enumeration value="Property Occupations Regulation 2014"/>
                        <xsd:enumeration value="Prostitution Act 1999"/>
                        <xsd:enumeration value="Public Guardian Act 2014"/>
                        <xsd:enumeration value="Public Guardian Regulation 2014"/>
                        <xsd:enumeration value="Public Health (Infection Control for Personal Appearance Services) (Infection Control Guidelines) Notice 2024"/>
                        <xsd:enumeration value="Public Health (Infection Control for Personal Appearance Services) Act 2003"/>
                        <xsd:enumeration value="Public Health (Infection Control for Personal Appearance Services) Regulation 2016"/>
                        <xsd:enumeration value="Public Health Act 2005"/>
                        <xsd:enumeration value="Public Health Regulation 2018"/>
                        <xsd:enumeration value="Public Interest Disclosure Act 2010"/>
                        <xsd:enumeration value="Public Officers Superannuation Benefits Recovery Act 1988"/>
                        <xsd:enumeration value="Public Records Act 2002"/>
                        <xsd:enumeration value="Public Records Act 2023"/>
                        <xsd:enumeration value="Public Records Regulation 2014"/>
                        <xsd:enumeration value="Public Safety Preservation Act 1986"/>
                        <xsd:enumeration value="Public Sector Act 2022"/>
                        <xsd:enumeration value="Public Sector Ethics Act 1994"/>
                        <xsd:enumeration value="Public Sector Ethics Regulation 2023"/>
                        <xsd:enumeration value="Public Sector Regulation 2023"/>
                        <xsd:enumeration value="Public Trustee Act 1978"/>
                        <xsd:enumeration value="Public Trustee Regulation 2023"/>
                        <xsd:enumeration value="Queen's Wharf Brisbane (Freehold Land) Declaration 2016"/>
                        <xsd:enumeration value="Queens Wharf Brisbane (Leasehold Land) Declaration 2017"/>
                        <xsd:enumeration value="Queens Wharf Brisbane (Leasehold Land) Declaration 2019"/>
                        <xsd:enumeration value="Queens Wharf Brisbane (Relevant Entity) Declaration 2021"/>
                        <xsd:enumeration value="Queens Wharf Brisbane Act 2016"/>
                        <xsd:enumeration value="Queen's Wharf Brisbane Regulation 2016"/>
                        <xsd:enumeration value="Queensland Art Gallery Act 1987"/>
                        <xsd:enumeration value="Queensland Boundaries Declaratory Act 1982"/>
                        <xsd:enumeration value="Queensland Building and Construction Commission (Minimum Financial Requirements) Regulation 2018"/>
                        <xsd:enumeration value="Queensland Building and Construction Commission (Non-Conforming Building Products Code of Practice) Notice 2017"/>
                        <xsd:enumeration value="Queensland Building and Construction Commission (Transfer) Regulation 2014"/>
                        <xsd:enumeration value="Queensland Building and Construction Commission Act 1991"/>
                        <xsd:enumeration value="Queensland Building and Construction Commission Regulation 2018"/>
                        <xsd:enumeration value="Queensland Civil and Administrative Tribunal Act 2009"/>
                        <xsd:enumeration value="Queensland Civil and Administrative Tribunal Regulation 2019"/>
                        <xsd:enumeration value="Queensland Civil and Administrative Tribunal Rules 2009"/>
                        <xsd:enumeration value="Queensland Coast Islands Act 1879"/>
                        <xsd:enumeration value="Queensland Coast Islands Proclamation dated 18 July 1879"/>
                        <xsd:enumeration value="Queensland Coast, Islands and Waters Instruments"/>
                        <xsd:enumeration value="Queensland Competition Authority Act 1997"/>
                        <xsd:enumeration value="Queensland Competition Authority Regulation 2018"/>
                        <xsd:enumeration value="Queensland Congregational Union Act 1967"/>
                        <xsd:enumeration value="Queensland Food Farmers' Commissioner Act 2024"/>
                        <xsd:enumeration value="Queensland Future Fund (Titles Registry) Act 2021"/>
                        <xsd:enumeration value="Queensland Future Fund Act 2020"/>
                        <xsd:enumeration value="Queensland Heritage Act 1992"/>
                        <xsd:enumeration value="Queensland Heritage Regulation 2015"/>
                        <xsd:enumeration value="Queensland Independent Remuneration Tribunal Act 2013"/>
                        <xsd:enumeration value="Queensland Industry Participation Policy Act 2011"/>
                        <xsd:enumeration value="Queensland Institute of Medical Research Act 1945"/>
                        <xsd:enumeration value="Queensland International Tourist Centre Agreement Act Repeal Act 1989"/>
                        <xsd:enumeration value="Queensland Investment Corporation Act 1991"/>
                        <xsd:enumeration value="Queensland Mental Health Commission Act 2013"/>
                        <xsd:enumeration value="Queensland Museum Act 1970"/>
                        <xsd:enumeration value="Queensland Nickel Agreement Act 1970"/>
                        <xsd:enumeration value="Queensland Nickel Agreement Act 1988"/>
                        <xsd:enumeration value="Queensland Performing Arts Trust Act 1977"/>
                        <xsd:enumeration value="Queensland Plan Act 2014"/>
                        <xsd:enumeration value="Queensland Rail Transit Authority Act 2013"/>
                        <xsd:enumeration value="Queensland Reconstruction Authority Act 2011"/>
                        <xsd:enumeration value="Queensland Reconstruction Authority Regulation 2022"/>
                        <xsd:enumeration value="Queensland Temperance League Lands Act 1985"/>
                        <xsd:enumeration value="Queensland Theatre Company Act 1970"/>
                        <xsd:enumeration value="Queensland Treasury Corporation Act 1988"/>
                        <xsd:enumeration value="Queensland University of Technology Act 1998"/>
                        <xsd:enumeration value="Queensland Veterans' Council Act 2021"/>
                        <xsd:enumeration value="Racing Act 2002"/>
                        <xsd:enumeration value="Racing Integrity Act 2016"/>
                        <xsd:enumeration value="Racing Integrity Regulation 2016"/>
                        <xsd:enumeration value="Racing Regulation 2023"/>
                        <xsd:enumeration value="Radiation Safety (Radiation Safety Standards) Notice 2021"/>
                        <xsd:enumeration value="Radiation Safety Act 1999"/>
                        <xsd:enumeration value="Radiation Safety Regulation 2021"/>
                        <xsd:enumeration value="Rail Safety National Law (Queensland)"/>
                        <xsd:enumeration value="Rail Safety National Law (Queensland) Act 2017"/>
                        <xsd:enumeration value="Rail Safety National Law (Queensland) Regulation 2017"/>
                        <xsd:enumeration value="Rail Safety National Law National Regulations 2012"/>
                        <xsd:enumeration value="Recording of Evidence Act 1962"/>
                        <xsd:enumeration value="Recording of Evidence Regulation 2018"/>
                        <xsd:enumeration value="Recreation Areas Management Act 2006"/>
                        <xsd:enumeration value="Recreation Areas Management Regulation 2017"/>
                        <xsd:enumeration value="Referendums Act 1997"/>
                        <xsd:enumeration value="Referendums Regulation 2016"/>
                        <xsd:enumeration value="Regional Planning Interests Act 2014"/>
                        <xsd:enumeration value="Regional Planning Interests Regulation 2014"/>
                        <xsd:enumeration value="Registration of Plans (H.S.P. (Nominees) Pty. Limited) Enabling Act 1980"/>
                        <xsd:enumeration value="Registration of Plans (Stage 2) (H.S.P. (Nominees) Pty. Limited) Enabling Act 1984"/>
                        <xsd:enumeration value="Regulatory Offences Act 1985"/>
                        <xsd:enumeration value="Reprints Act 1992"/>
                        <xsd:enumeration value="Research Involving Human Embryos and Prohibition of Human Cloning for Reproduction Act 2003"/>
                        <xsd:enumeration value="Research Involving Human Embryos and Prohibition of Human Cloning for Reproduction Regulation 2015"/>
                        <xsd:enumeration value="Residential Services (Accreditation) Act 2002"/>
                        <xsd:enumeration value="Residential Services (Accreditation) Regulation 2018"/>
                        <xsd:enumeration value="Residential Tenancies and Rooming Accommodation (Transitional) Regulation 2024"/>
                        <xsd:enumeration value="Residential Tenancies and Rooming Accommodation Act 2008"/>
                        <xsd:enumeration value="Residential Tenancies and Rooming Accommodation Regulation 2009"/>
                        <xsd:enumeration value="Resources Safety and Health Queensland Act 2020"/>
                        <xsd:enumeration value="Retail Shop Leases Act 1994"/>
                        <xsd:enumeration value="Retail Shop Leases Regulation 2016"/>
                        <xsd:enumeration value="Retirement Villages Act 1999"/>
                        <xsd:enumeration value="Retirement Villages Regulation 2018"/>
                        <xsd:enumeration value="Returned ＆ Services League of Australia (Queensland Branch) Act 1956"/>
                        <xsd:enumeration value="Returned Servicemen's Badges Act 1956"/>
                        <xsd:enumeration value="Right to Information Act 2009"/>
                        <xsd:enumeration value="Right to Information Regulation 2009"/>
                        <xsd:enumeration value="River Improvement Trust Act 1940"/>
                        <xsd:enumeration value="River Improvement Trust Regulation 2023"/>
                        <xsd:enumeration value="Roman Catholic Church (Corporation of the Sisters of Mercy of the Diocese of Cairns) Lands Vesting Act 1945"/>
                        <xsd:enumeration value="Roman Catholic Church (Incorporation of Church Entities) Act 1994"/>
                        <xsd:enumeration value="Roman Catholic Church (Northern Lands) Vesting Act 1941"/>
                        <xsd:enumeration value="Roman Catholic Church Lands Act 1985"/>
                        <xsd:enumeration value="Roman Catholic Relief Act 1830"/>
                        <xsd:enumeration value="Royal National Agricultural and Industrial Association of Queensland Act 1971"/>
                        <xsd:enumeration value="Royal National Agricultural and Industrial Association of Queensland Regulation 2022"/>
                        <xsd:enumeration value="Rural and Regional Adjustment Act 1994"/>
                        <xsd:enumeration value="Rural and Regional Adjustment Regulation 2011"/>
                        <xsd:enumeration value="Safety in Recreational Water Activities (Code of Practice) Notice 2022"/>
                        <xsd:enumeration value="Safety in Recreational Water Activities Act 2011"/>
                        <xsd:enumeration value="Safety in Recreational Water Activities Regulation 2024"/>
                        <xsd:enumeration value="Sale of Goods (Vienna Convention) Act 1986"/>
                        <xsd:enumeration value="Sale of Goods Act 1896"/>
                        <xsd:enumeration value="Salvation Army (Queensland) Property Trust Act 1930"/>
                        <xsd:enumeration value="Sanctuary Cove Resort Act 1985"/>
                        <xsd:enumeration value="Sanctuary Cove Resort Regulation 2020"/>
                        <xsd:enumeration value="Schools of Arts (Winding Up and Transfer) Act 1960"/>
                        <xsd:enumeration value="Schools of Arts (Winding Up and Transfer) Act Amendment Act 1981"/>
                        <xsd:enumeration value="Scout Association of Australia Queensland Branch Act 1975"/>
                        <xsd:enumeration value="Sea-Carriage Documents Act 1996"/>
                        <xsd:enumeration value="Second-hand Dealers and Pawnbrokers Act 2003"/>
                        <xsd:enumeration value="Second-hand Dealers and Pawnbrokers Regulation 2004"/>
                        <xsd:enumeration value="Security Providers (Crowd Controller Code of Practice) Regulation 2008"/>
                        <xsd:enumeration value="Security Providers (Security Firm Code of Practice) Regulation 2008"/>
                        <xsd:enumeration value="Security Providers (Security Officer—Licensed Premises—Code of Practice) Regulation 2008"/>
                        <xsd:enumeration value="Security Providers Act 1993"/>
                        <xsd:enumeration value="Security Providers Regulation 2008"/>
                        <xsd:enumeration value="See above (row 126)"/>
                        <xsd:enumeration value="Senate Elections Act 1960"/>
                        <xsd:enumeration value="Small Business Commissioner Act 2022"/>
                        <xsd:enumeration value="Small Business Commissioner Regulation 2022"/>
                        <xsd:enumeration value="Soil Conservation Act 1986"/>
                        <xsd:enumeration value="Soil Survey Act 1929"/>
                        <xsd:enumeration value="Solicitor-General Act 1985"/>
                        <xsd:enumeration value="South Bank Corporation (Modified Building Units and Group Titles) Regulation 2014"/>
                        <xsd:enumeration value="South Bank Corporation Act 1989"/>
                        <xsd:enumeration value="South Bank Corporation By-law 2014"/>
                        <xsd:enumeration value="South Bank Corporation Regulation 2014"/>
                        <xsd:enumeration value="South East Queensland Water (Restructuring) Act 2007"/>
                        <xsd:enumeration value="South-East Queensland Water (Distribution and Retail Restructuring) Act 2009"/>
                        <xsd:enumeration value="South-East Queensland Water (Distribution and Retail Restructuring) Regulation 2021"/>
                        <xsd:enumeration value="Sports Anti-Doping Act 2003"/>
                        <xsd:enumeration value="Standard Time Act 1894"/>
                        <xsd:enumeration value="State Development and Public Works Organisation (State Development Areas) Regulation 2019"/>
                        <xsd:enumeration value="State Development and Public Works Organisation Act 1971"/>
                        <xsd:enumeration value="State Development and Public Works Organisation Regulation 2020"/>
                        <xsd:enumeration value="State Emergency Service Act 2024"/>
                        <xsd:enumeration value="State Financial Institutions and Metway Merger Act 1996"/>
                        <xsd:enumeration value="State Penalties Enforcement (Transitional) Regulation 2017"/>
                        <xsd:enumeration value="State Penalties Enforcement Act 1999"/>
                        <xsd:enumeration value="State Penalties Enforcement Regulation 2014"/>
                        <xsd:enumeration value="State Transport (People Movers) Act 1989"/>
                        <xsd:enumeration value="State Transport Act 1938"/>
                        <xsd:enumeration value="Statistical Returns Act 1896"/>
                        <xsd:enumeration value="Status of Children Act 1978"/>
                        <xsd:enumeration value="Status of Children Regulation 2022"/>
                        <xsd:enumeration value="Statute of Westminster 1931 (Imperial)"/>
                        <xsd:enumeration value="Statute of Westminster Adoption Act 1942 (Commonwealth)"/>
                        <xsd:enumeration value="Statutory Authorities (Superannuation Arrangements) Act 1994"/>
                        <xsd:enumeration value="Statutory Bodies Financial Arrangements Act 1982"/>
                        <xsd:enumeration value="Statutory Bodies Financial Arrangements Regulation 2019"/>
                        <xsd:enumeration value="Statutory Instruments Act 1992"/>
                        <xsd:enumeration value="Statutory Instruments Regulation 2022"/>
                        <xsd:enumeration value="Stock Route Management Act 2002"/>
                        <xsd:enumeration value="Stock Route Management Regulation 2023"/>
                        <xsd:enumeration value="Storage Liens Act 1973"/>
                        <xsd:enumeration value="Storage Liens Regulation 2018"/>
                        <xsd:enumeration value="Strengthening Community Safety Act 2023"/>
                        <xsd:enumeration value="Strong and Sustainable Resource Communities Act 2017"/>
                        <xsd:enumeration value="Succession Act 1981"/>
                        <xsd:enumeration value="Succession to the Crown Act 2013"/>
                        <xsd:enumeration value="Sugar Industry Act 1999"/>
                        <xsd:enumeration value="Sugar Industry Regulation 2022"/>
                        <xsd:enumeration value="Summary Offences Act 2005"/>
                        <xsd:enumeration value="Summary Offences Regulation 2016"/>
                        <xsd:enumeration value="Superannuation (Public Employees Portability) Act 1985"/>
                        <xsd:enumeration value="Superannuation (Public Employees Portability) Notice 2019"/>
                        <xsd:enumeration value="Superannuation (Public Employees Portability) Regulation 2019"/>
                        <xsd:enumeration value="Superannuation (State Public Sector) Act 1990"/>
                        <xsd:enumeration value="Superannuation (State Public Sector) Notice 2021"/>
                        <xsd:enumeration value="Superannuation (State Public Sector) Regulation 2023"/>
                        <xsd:enumeration value="Supreme Court (Admission Guidelines) Notice 2016"/>
                        <xsd:enumeration value="Supreme Court (Admission) Rules 2004"/>
                        <xsd:enumeration value="Supreme Court Library Act 1968"/>
                        <xsd:enumeration value="Supreme Court of Queensland Act 1991"/>
                        <xsd:enumeration value="Supreme Court of Queensland Regulation 2012"/>
                        <xsd:enumeration value="Surat Basin Rail (Infrastructure Development and Management) Act 2012"/>
                        <xsd:enumeration value="Surrogacy Act 2010"/>
                        <xsd:enumeration value="Survey and Mapping Infrastructure Act 2003"/>
                        <xsd:enumeration value="Survey and Mapping Infrastructure Regulation 2024"/>
                        <xsd:enumeration value="Surveyors Act 2003"/>
                        <xsd:enumeration value="Surveyors Regulation 2024"/>
                        <xsd:enumeration value="Sustainable Ports Development Act 2015"/>
                        <xsd:enumeration value="Sustainable Ports Development Regulation 2018"/>
                        <xsd:enumeration value="TAB Queensland Limited Privatisation Act 1999"/>
                        <xsd:enumeration value="TAFE Queensland Act 2013"/>
                        <xsd:enumeration value="TAFE Queensland Regulation 2024"/>
                        <xsd:enumeration value="Tattoo Industry Act 2013"/>
                        <xsd:enumeration value="Tattoo Industry Regulation 2013"/>
                        <xsd:enumeration value="Taxation Administration Act 2001"/>
                        <xsd:enumeration value="Taxation Administration Regulation 2022"/>
                        <xsd:enumeration value="Telecommunications Interception Act 2009"/>
                        <xsd:enumeration value="Termination of Pregnancy Act 2018"/>
                        <xsd:enumeration value="Terrorism (Commonwealth Powers) Act 2002"/>
                        <xsd:enumeration value="Terrorism (Preventative Detention) Act 2005"/>
                        <xsd:enumeration value="Therapeutic Goods Act 2019"/>
                        <xsd:enumeration value="Therapeutic Goods Regulation 2021"/>
                        <xsd:enumeration value="Thiess Peabody Coal Pty. Ltd. Agreement Act 1962"/>
                        <xsd:enumeration value="Thiess Peabody Mitsui Coal Pty. Ltd. Agreements Act 1965"/>
                        <xsd:enumeration value="Tobacco and Other Smoking Products Act 1998"/>
                        <xsd:enumeration value="Tobacco and Other Smoking Products Regulation 2021"/>
                        <xsd:enumeration value="Torres Strait Fisheries Act 1984"/>
                        <xsd:enumeration value="Torres Strait Islander Cultural Heritage Act 2003"/>
                        <xsd:enumeration value="Torres Strait Islander Land Act 1991"/>
                        <xsd:enumeration value="Torres Strait Islander Land Regulation 2011"/>
                        <xsd:enumeration value="Tourism and Events Queensland Act 2012"/>
                        <xsd:enumeration value="Tourism Services (Code of Conduct for Inbound Tour Operators) Regulation 2003"/>
                        <xsd:enumeration value="Tourism Services Act 2003"/>
                        <xsd:enumeration value="Tourism Services Regulation 2003"/>
                        <xsd:enumeration value="Tow Truck Act 1973"/>
                        <xsd:enumeration value="Tow Truck Act 2023"/>
                        <xsd:enumeration value="Tow Truck Regulation 2024"/>
                        <xsd:enumeration value="Townsville Breakwater Entertainment Centre Act 1991"/>
                        <xsd:enumeration value="Townsville City Council (Douglas Land Development) Act 1993"/>
                        <xsd:enumeration value="Townsville Zinc Refinery Act 1996"/>
                        <xsd:enumeration value="Trade and Investment Queensland Act 2013"/>
                        <xsd:enumeration value="Trading (Allowable Hours) Act 1990"/>
                        <xsd:enumeration value="Traffic Regulation 1962"/>
                        <xsd:enumeration value="Transplantation and Anatomy Act 1979"/>
                        <xsd:enumeration value="Transplantation and Anatomy Regulation 2017"/>
                        <xsd:enumeration value="Transport (South Bank Corporation Area Land) Act 1999"/>
                        <xsd:enumeration value="Transport Infrastructure (Dangerous Goods by Rail) Regulation 2018"/>
                        <xsd:enumeration value="Transport Infrastructure (Ports) Regulation 2016"/>
                        <xsd:enumeration value="Transport Infrastructure (Public Marine Facilities) Regulation 2023"/>
                        <xsd:enumeration value="Transport Infrastructure (Rail) Regulation 2017"/>
                        <xsd:enumeration value="Transport Infrastructure (State-controlled Roads) Regulation 2017"/>
                        <xsd:enumeration value="Transport Infrastructure (Waterways Management) Regulation 2012"/>
                        <xsd:enumeration value="Transport Infrastructure Act 1994"/>
                        <xsd:enumeration value="Transport Operations (Marine Pollution) Act 1995"/>
                        <xsd:enumeration value="Transport Operations (Marine Pollution) Regulation 2018"/>
                        <xsd:enumeration value="Transport Operations (Marine Safety) Act 1994"/>
                        <xsd:enumeration value="Transport Operations (Marine Safety) Regulation 2016"/>
                        <xsd:enumeration value="Transport Operations (Marine Safety—Domestic Commercial Vessel National Law Application) Act 2016"/>
                        <xsd:enumeration value="Transport Operations (Marine Safety—Queensland Regulated Ships Miscellaneous Equipment) Standard 2017"/>
                        <xsd:enumeration value="Transport Operations (Passenger Transport) Act 1994"/>
                        <xsd:enumeration value="Transport Operations (Passenger Transport) Regulation 2018"/>
                        <xsd:enumeration value="Transport Operations (Passenger Transport) Standard 2010"/>
                        <xsd:enumeration value="Transport Operations (Road Use Management) Act 1995"/>
                        <xsd:enumeration value="Transport Operations (Road Use Management—Accreditation and Other Provisions) Regulation 2015"/>
                        <xsd:enumeration value="Transport Operations (Road Use Management—Dangerous Goods) Regulation 2018"/>
                        <xsd:enumeration value="Transport Operations (Road Use Management—Driver Licensing) Regulation 2021"/>
                        <xsd:enumeration value="Transport Operations (Road Use Management—Road Rules) Regulation 2009"/>
                        <xsd:enumeration value="Transport Operations (Road Use Management—Vehicle Registration) Regulation 2021"/>
                        <xsd:enumeration value="Transport Operations (Road Use Management—Vehicle Standards and Safety) Regulation 2021"/>
                        <xsd:enumeration value="Transport Planning and Coordination Act 1994"/>
                        <xsd:enumeration value="Transport Planning and Coordination Regulation 2017"/>
                        <xsd:enumeration value="Transport Security (Counter-Terrorism) Act 2008"/>
                        <xsd:enumeration value="Trans-Tasman Mutual Recognition (Endorsement) Notice (No. 1) 2013"/>
                        <xsd:enumeration value="Trans-Tasman Mutual Recognition (Endorsement) Notice 2012"/>
                        <xsd:enumeration value="Trans-Tasman Mutual Recognition (NSW Container Deposit Scheme) Notice 2017"/>
                        <xsd:enumeration value="Trans-Tasman Mutual Recognition (NSW Container Deposit Scheme) Notice 2018"/>
                        <xsd:enumeration value="Trans-Tasman Mutual Recognition (Queensland) (ACT Container Deposit Scheme) Notice 2018"/>
                        <xsd:enumeration value="Trans-Tasman Mutual Recognition (Queensland) (Emissions-Controlled Products) Notice 2018"/>
                        <xsd:enumeration value="Trans-Tasman Mutual Recognition (Queensland) (NT and Tasmanian Container Deposit Schemes) Notice 2023"/>
                        <xsd:enumeration value="Trans-Tasman Mutual Recognition (Queensland) (WA Container Deposit Scheme) Notice 2020"/>
                        <xsd:enumeration value="Trans-Tasman Mutual Recognition (Queensland) Act 2003"/>
                        <xsd:enumeration value="Traveller Accommodation Providers (Liability) Act 2001"/>
                        <xsd:enumeration value="Trust Accounts (Transitional) Regulation 2024"/>
                        <xsd:enumeration value="Trust Accounts Act 1973"/>
                        <xsd:enumeration value="Trust Accounts Regulation 1999"/>
                        <xsd:enumeration value="Trustee Companies Act 1968"/>
                        <xsd:enumeration value="Trusts Act 1973"/>
                        <xsd:enumeration value="Tweed River Entrance Sand Bypassing Project Agreement Act 1998"/>
                        <xsd:enumeration value="Uniform Civil Procedure (Fees) Regulation 2019"/>
                        <xsd:enumeration value="Uniform Civil Procedure Rules 1999"/>
                        <xsd:enumeration value="United Grand Lodge of Antient Free and Accepted Masons of Queensland Trustees Act 1942"/>
                        <xsd:enumeration value="Uniting Church in Australia Act 1977"/>
                        <xsd:enumeration value="University of Queensland Act 1998"/>
                        <xsd:enumeration value="University of Southern Queensland Act 1998"/>
                        <xsd:enumeration value="University of the Sunshine Coast Act 1998"/>
                        <xsd:enumeration value="Valuation of Land Regulation 2003"/>
                        <xsd:enumeration value="Valuers Registration Act 1992"/>
                        <xsd:enumeration value="Valuers Registration Regulation 2024"/>
                        <xsd:enumeration value="Vegetation Management Act 1999"/>
                        <xsd:enumeration value="Vegetation Management Regulation 2023"/>
                        <xsd:enumeration value="Veterinary Surgeons Act 1936"/>
                        <xsd:enumeration value="Veterinary Surgeons Regulation 2016"/>
                        <xsd:enumeration value="Vexatious Proceedings Act 2005"/>
                        <xsd:enumeration value="Victims' Commissioner and Sexual Violence Review Board Act 2024 — partly uncommenced"/>
                        <xsd:enumeration value="Victims of Crime Assistance Act 2009"/>
                        <xsd:enumeration value="Vocational Education and Training (Commonwealth Powers) Act 2012"/>
                        <xsd:enumeration value="Voluntary Assisted Dying Act 2021"/>
                        <xsd:enumeration value="Voluntary Assisted Dying Regulation 2022"/>
                        <xsd:enumeration value="Wagering Act 1998"/>
                        <xsd:enumeration value="Wagering Regulation 1999"/>
                        <xsd:enumeration value="Waste Reduction and Recycling Act 2011"/>
                        <xsd:enumeration value="Waste Reduction and Recycling Regulation 2023"/>
                        <xsd:enumeration value="Water (Commonwealth Powers) Act 2008"/>
                        <xsd:enumeration value="Water Act 2000"/>
                        <xsd:enumeration value="Water Efficiency Labelling and Standards (Queensland) Act 2005"/>
                        <xsd:enumeration value="Water Fluoridation Act 2008"/>
                        <xsd:enumeration value="Water Fluoridation Regulation 2020"/>
                        <xsd:enumeration value="Water Plan (Baffle Creek Basin) 2010"/>
                        <xsd:enumeration value="Water Plan (Barron) 2023"/>
                        <xsd:enumeration value="Water Plan (Border Rivers and Moonie) 2019"/>
                        <xsd:enumeration value="Water Plan (Boyne River Basin) 2013"/>
                        <xsd:enumeration value="Water Plan (Burdekin Basin) 2007"/>
                        <xsd:enumeration value="Water Plan (Burnett Basin) 2014"/>
                        <xsd:enumeration value="Water Plan (Calliope River Basin) 2006"/>
                        <xsd:enumeration value="Water Plan (Cape York) 2019"/>
                        <xsd:enumeration value="Water Plan (Condamine and Balonne) 2019"/>
                        <xsd:enumeration value="Water Plan (Cooper Creek) 2011"/>
                        <xsd:enumeration value="Water Plan (Fitzroy Basin) 2011"/>
                        <xsd:enumeration value="Water Plan (Georgina and Diamantina) 2004"/>
                        <xsd:enumeration value="Water Plan (Gold Coast) 2006"/>
                        <xsd:enumeration value="Water Plan (Great Artesian Basin and Other Regional Aquifers) 2017"/>
                        <xsd:enumeration value="Water Plan (Gulf) 2007"/>
                        <xsd:enumeration value="Water Plan (Logan Basin) 2007"/>
                        <xsd:enumeration value="Water Plan (Mary Basin) 2024"/>
                        <xsd:enumeration value="Water Plan (Mitchell) 2007"/>
                        <xsd:enumeration value="Water Plan (Moreton) 2007"/>
                        <xsd:enumeration value="Water Plan (Pioneer Valley) 2002"/>
                        <xsd:enumeration value="Water Plan (Warrego, Paroo, Bulloo and Nebine) 2016"/>
                        <xsd:enumeration value="Water Plan (Wet Tropics) 2013"/>
                        <xsd:enumeration value="Water Regulation 2016"/>
                        <xsd:enumeration value="Water Resource (Whitsunday) Plan 2010"/>
                        <xsd:enumeration value="Water Supply (Safety and Reliability) Act 2008"/>
                        <xsd:enumeration value="Water Supply (Safety and Reliability) Regulation 2021"/>
                        <xsd:enumeration value="Weapons Act 1990"/>
                        <xsd:enumeration value="Weapons Categories Regulation 1997"/>
                        <xsd:enumeration value="Weapons Regulation 2016"/>
                        <xsd:enumeration value="Wesleyan Methodist Trust Property Act 1853"/>
                        <xsd:enumeration value="Wesleyan Methodists, Independents, and Baptists Churches Act 1838"/>
                        <xsd:enumeration value="Wet Tropics Management Plan 1998"/>
                        <xsd:enumeration value="Wet Tropics World Heritage Protection and Management Act 1993"/>
                        <xsd:enumeration value="Wine Industry Act 1994"/>
                        <xsd:enumeration value="Wine Industry Regulation 2009"/>
                        <xsd:enumeration value="Witness Protection Act 2000"/>
                        <xsd:enumeration value="Witness Protection Regulation 2021"/>
                        <xsd:enumeration value="Work Health and Safety (Codes of Practice) Notice 2022"/>
                        <xsd:enumeration value="Work Health and Safety Act 2011"/>
                        <xsd:enumeration value="Work Health and Safety Regulation 2011"/>
                        <xsd:enumeration value="Workers Accommodation Act 1952"/>
                        <xsd:enumeration value="Workers Compensation and Rehabilitation (QOTE) Notice 2024"/>
                        <xsd:enumeration value="Workers Compensation and Rehabilitation Act 2003"/>
                        <xsd:enumeration value="Workers Compensation and Rehabilitation Regulation 2014"/>
                        <xsd:enumeration value="Working with Children (Risk Management and Screening) Act 2000"/>
                        <xsd:enumeration value="Working with Children (Risk Management and Screening) Regulation 2020"/>
                        <xsd:enumeration value="Young Offenders (Interstate Transfer) Act 1987"/>
                        <xsd:enumeration value="Youth Justice Act 1992"/>
                        <xsd:enumeration value="Youth Justice Regulation 2016"/>
                      </xsd:restriction>
                    </xsd:simpleType>
                  </xsd:union>
                </xsd:simpleType>
              </xsd:element>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element name="n77d42287e824764a498f9a4fa7cd7c4" ma:index="55" nillable="true" ma:taxonomy="true" ma:internalName="n77d42287e824764a498f9a4fa7cd7c4" ma:taxonomyFieldName="AgenciesAndStatutoryBodies" ma:displayName="Agencies and Statutory Bodies" ma:default="" ma:fieldId="{777d4228-7e82-4764-a498-f9a4fa7cd7c4}" ma:taxonomyMulti="true" ma:sspId="a2313f21-320d-4b32-babf-82317826f03e" ma:termSetId="ee5ab0f8-5eea-4841-bd5a-f1a726323286" ma:anchorId="00000000-0000-0000-0000-000000000000" ma:open="false" ma:isKeyword="false">
      <xsd:complexType>
        <xsd:sequence>
          <xsd:element ref="pc:Terms" minOccurs="0" maxOccurs="1"/>
        </xsd:sequence>
      </xsd:complexType>
    </xsd:element>
    <xsd:element name="_dlc_DocIdPersistId" ma:index="56" nillable="true" ma:displayName="Persist ID" ma:description="Keep ID on add." ma:hidden="true" ma:internalName="_dlc_DocIdPersistId" ma:readOnly="true">
      <xsd:simpleType>
        <xsd:restriction base="dms:Boolean"/>
      </xsd:simpleType>
    </xsd:element>
    <xsd:element name="_dlc_DocIdUrl" ma:index="6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k0f42f36457d4b6abb7e29f8bdac1e99" ma:index="64" nillable="true" ma:taxonomy="true" ma:internalName="k0f42f36457d4b6abb7e29f8bdac1e99" ma:taxonomyFieldName="Draft_x002F_Final" ma:displayName="Draft/Final" ma:default="" ma:fieldId="{40f42f36-457d-4b6a-bb7e-29f8bdac1e99}" ma:sspId="a2313f21-320d-4b32-babf-82317826f03e" ma:termSetId="525eedbd-7a8d-41d8-aa22-bb5e1c241915" ma:anchorId="00000000-0000-0000-0000-000000000000" ma:open="false" ma:isKeyword="false">
      <xsd:complexType>
        <xsd:sequence>
          <xsd:element ref="pc:Terms" minOccurs="0" maxOccurs="1"/>
        </xsd:sequence>
      </xsd:complexType>
    </xsd:element>
    <xsd:element name="b55a7950d5ba4acda029a6153d1347d7" ma:index="69" nillable="true" ma:taxonomy="true" ma:internalName="b55a7950d5ba4acda029a6153d1347d7" ma:taxonomyFieldName="Open_x002F_Closed_x002F_Grey" ma:displayName="Document Searchability" ma:default="" ma:fieldId="{b55a7950-d5ba-4acd-a029-a6153d1347d7}" ma:sspId="a2313f21-320d-4b32-babf-82317826f03e" ma:termSetId="ffd24007-4ca6-4e1b-ae54-5fbf46da544f" ma:anchorId="00000000-0000-0000-0000-000000000000" ma:open="false" ma:isKeyword="false">
      <xsd:complexType>
        <xsd:sequence>
          <xsd:element ref="pc:Terms" minOccurs="0" maxOccurs="1"/>
        </xsd:sequence>
      </xsd:complexType>
    </xsd:element>
    <xsd:element name="bbb41b92974b4cd68f66ad51c891caf5" ma:index="72" nillable="true" ma:taxonomy="true" ma:internalName="bbb41b92974b4cd68f66ad51c891caf5" ma:taxonomyFieldName="ServiceLine" ma:displayName="Service Line" ma:default="" ma:fieldId="{bbb41b92-974b-4cd6-8f66-ad51c891caf5}" ma:taxonomyMulti="true" ma:sspId="a2313f21-320d-4b32-babf-82317826f03e" ma:termSetId="209376d3-06c4-475f-88f4-c11db766e275" ma:anchorId="00000000-0000-0000-0000-000000000000" ma:open="false" ma:isKeyword="false">
      <xsd:complexType>
        <xsd:sequence>
          <xsd:element ref="pc:Terms" minOccurs="0" maxOccurs="1"/>
        </xsd:sequence>
      </xsd:complexType>
    </xsd:element>
    <xsd:element name="mb45a49aa926406cb8c8d93ec654ac2b" ma:index="74" nillable="true" ma:taxonomy="true" ma:internalName="mb45a49aa926406cb8c8d93ec654ac2b" ma:taxonomyFieldName="ServiceMechanism" ma:displayName="Service Mechanism" ma:default="" ma:fieldId="{6b45a49a-a926-406c-b8c8-d93ec654ac2b}" ma:taxonomyMulti="true" ma:sspId="a2313f21-320d-4b32-babf-82317826f03e" ma:termSetId="555035e1-6a61-4d21-8783-70baaf85c59e" ma:anchorId="00000000-0000-0000-0000-000000000000" ma:open="false" ma:isKeyword="false">
      <xsd:complexType>
        <xsd:sequence>
          <xsd:element ref="pc:Terms" minOccurs="0" maxOccurs="1"/>
        </xsd:sequence>
      </xsd:complexType>
    </xsd:element>
    <xsd:element name="_dlc_DocId" ma:index="75"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27c05b-0364-427a-85dd-9bb2ccb6cb6a" elementFormDefault="qualified">
    <xsd:import namespace="http://schemas.microsoft.com/office/2006/documentManagement/types"/>
    <xsd:import namespace="http://schemas.microsoft.com/office/infopath/2007/PartnerControls"/>
    <xsd:element name="QTQGSONotes" ma:index="15" nillable="true" ma:displayName="Notes" ma:internalName="QTQGSONotes">
      <xsd:simpleType>
        <xsd:restriction base="dms:Note"/>
      </xsd:simpleType>
    </xsd:element>
    <xsd:element name="TaxCatchAll" ma:index="57" nillable="true" ma:displayName="Taxonomy Catch All Column" ma:hidden="true" ma:list="{50b5d87f-f820-4610-ac02-cdef4a625ded}" ma:internalName="TaxCatchAll" ma:showField="CatchAllData" ma:web="4ed821ac-589c-4003-a172-e625d938d56c">
      <xsd:complexType>
        <xsd:complexContent>
          <xsd:extension base="dms:MultiChoiceLookup">
            <xsd:sequence>
              <xsd:element name="Value" type="dms:Lookup" maxOccurs="unbounded" minOccurs="0" nillable="true"/>
            </xsd:sequence>
          </xsd:extension>
        </xsd:complexContent>
      </xsd:complexType>
    </xsd:element>
    <xsd:element name="TaxCatchAllLabel" ma:index="59" nillable="true" ma:displayName="Taxonomy Catch All Column1" ma:hidden="true" ma:list="{50b5d87f-f820-4610-ac02-cdef4a625ded}" ma:internalName="TaxCatchAllLabel" ma:readOnly="true" ma:showField="CatchAllDataLabel" ma:web="4ed821ac-589c-4003-a172-e625d938d5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db62f0-30ff-45e3-850f-714c416cf9cf" elementFormDefault="qualified">
    <xsd:import namespace="http://schemas.microsoft.com/office/2006/documentManagement/types"/>
    <xsd:import namespace="http://schemas.microsoft.com/office/infopath/2007/PartnerControls"/>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AutoTags" ma:index="43" nillable="true" ma:displayName="Tags" ma:internalName="MediaServiceAutoTags" ma:readOnly="true">
      <xsd:simpleType>
        <xsd:restriction base="dms:Text"/>
      </xsd:simple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LengthInSeconds" ma:index="47" nillable="true" ma:displayName="Length (seconds)" ma:internalName="MediaLengthInSeconds" ma:readOnly="true">
      <xsd:simpleType>
        <xsd:restriction base="dms:Unknown"/>
      </xsd:simpleType>
    </xsd:element>
    <xsd:element name="MediaServiceDateTaken" ma:index="48" nillable="true" ma:displayName="MediaServiceDateTaken" ma:hidden="true" ma:internalName="MediaServiceDateTaken" ma:readOnly="true">
      <xsd:simpleType>
        <xsd:restriction base="dms:Text"/>
      </xsd:simpleType>
    </xsd:element>
    <xsd:element name="lcf76f155ced4ddcb4097134ff3c332f" ma:index="50" nillable="true" ma:taxonomy="true" ma:internalName="lcf76f155ced4ddcb4097134ff3c332f" ma:taxonomyFieldName="MediaServiceImageTags" ma:displayName="Image Tags" ma:readOnly="false" ma:fieldId="{5cf76f15-5ced-4ddc-b409-7134ff3c332f}" ma:taxonomyMulti="true" ma:sspId="a2313f21-320d-4b32-babf-82317826f0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MediaServiceSearchProperties" ma:index="52" nillable="true" ma:displayName="MediaServiceSearchProperties" ma:hidden="true" ma:internalName="MediaServiceSearchProperties" ma:readOnly="true">
      <xsd:simpleType>
        <xsd:restriction base="dms:Note"/>
      </xsd:simpleType>
    </xsd:element>
    <xsd:element name="Completed" ma:index="53" nillable="true" ma:displayName="Completed" ma:default="0" ma:format="Dropdown" ma:internalName="Completed">
      <xsd:simpleType>
        <xsd:restriction base="dms:Boolean"/>
      </xsd:simpleType>
    </xsd:element>
    <xsd:element name="MediaServiceLocation" ma:index="5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2313f21-320d-4b32-babf-82317826f03e" ContentTypeId="0x010100781568B1C4394FA28C28FD40A55844C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DA82DB-5770-4103-98C0-A934B81CEA3C}">
  <ds:schemaRefs>
    <ds:schemaRef ds:uri="http://schemas.microsoft.com/office/2006/metadata/properties"/>
    <ds:schemaRef ds:uri="http://schemas.microsoft.com/office/2006/documentManagement/types"/>
    <ds:schemaRef ds:uri="http://schemas.microsoft.com/sharepoint/v3"/>
    <ds:schemaRef ds:uri="http://www.w3.org/XML/1998/namespace"/>
    <ds:schemaRef ds:uri="http://purl.org/dc/terms/"/>
    <ds:schemaRef ds:uri="http://purl.org/dc/elements/1.1/"/>
    <ds:schemaRef ds:uri="http://purl.org/dc/dcmitype/"/>
    <ds:schemaRef ds:uri="http://schemas.microsoft.com/office/infopath/2007/PartnerControls"/>
    <ds:schemaRef ds:uri="d1db62f0-30ff-45e3-850f-714c416cf9cf"/>
    <ds:schemaRef ds:uri="http://schemas.openxmlformats.org/package/2006/metadata/core-properties"/>
    <ds:schemaRef ds:uri="1227c05b-0364-427a-85dd-9bb2ccb6cb6a"/>
    <ds:schemaRef ds:uri="4ed821ac-589c-4003-a172-e625d938d56c"/>
  </ds:schemaRefs>
</ds:datastoreItem>
</file>

<file path=customXml/itemProps2.xml><?xml version="1.0" encoding="utf-8"?>
<ds:datastoreItem xmlns:ds="http://schemas.openxmlformats.org/officeDocument/2006/customXml" ds:itemID="{923DF7CE-94FA-4D33-A3DC-A2D6BE616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d821ac-589c-4003-a172-e625d938d56c"/>
    <ds:schemaRef ds:uri="1227c05b-0364-427a-85dd-9bb2ccb6cb6a"/>
    <ds:schemaRef ds:uri="d1db62f0-30ff-45e3-850f-714c416cf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485DDB-AE54-4A30-8633-372991699C77}">
  <ds:schemaRefs>
    <ds:schemaRef ds:uri="Microsoft.SharePoint.Taxonomy.ContentTypeSync"/>
  </ds:schemaRefs>
</ds:datastoreItem>
</file>

<file path=customXml/itemProps4.xml><?xml version="1.0" encoding="utf-8"?>
<ds:datastoreItem xmlns:ds="http://schemas.openxmlformats.org/officeDocument/2006/customXml" ds:itemID="{3C90CC78-CAA8-422A-8815-D6A855C9F0A5}">
  <ds:schemaRefs>
    <ds:schemaRef ds:uri="http://schemas.microsoft.com/sharepoint/events"/>
  </ds:schemaRefs>
</ds:datastoreItem>
</file>

<file path=customXml/itemProps5.xml><?xml version="1.0" encoding="utf-8"?>
<ds:datastoreItem xmlns:ds="http://schemas.openxmlformats.org/officeDocument/2006/customXml" ds:itemID="{FA82FD9A-A633-4F30-A4EC-AF7C55CB10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Tully</dc:creator>
  <cp:keywords/>
  <dc:description/>
  <cp:lastModifiedBy>Sam Bosa</cp:lastModifiedBy>
  <cp:revision>6</cp:revision>
  <dcterms:created xsi:type="dcterms:W3CDTF">2025-03-12T01:27:00Z</dcterms:created>
  <dcterms:modified xsi:type="dcterms:W3CDTF">2025-03-12T04:31:00Z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083577-197b-450c-831d-654cf3f56dc2_Enabled">
    <vt:lpwstr>true</vt:lpwstr>
  </property>
  <property fmtid="{D5CDD505-2E9C-101B-9397-08002B2CF9AE}" pid="3" name="MSIP_Label_5b083577-197b-450c-831d-654cf3f56dc2_SetDate">
    <vt:lpwstr>2025-02-21T01:22:43Z</vt:lpwstr>
  </property>
  <property fmtid="{D5CDD505-2E9C-101B-9397-08002B2CF9AE}" pid="4" name="MSIP_Label_5b083577-197b-450c-831d-654cf3f56dc2_Method">
    <vt:lpwstr>Standard</vt:lpwstr>
  </property>
  <property fmtid="{D5CDD505-2E9C-101B-9397-08002B2CF9AE}" pid="5" name="MSIP_Label_5b083577-197b-450c-831d-654cf3f56dc2_Name">
    <vt:lpwstr>OFFICIAL</vt:lpwstr>
  </property>
  <property fmtid="{D5CDD505-2E9C-101B-9397-08002B2CF9AE}" pid="6" name="MSIP_Label_5b083577-197b-450c-831d-654cf3f56dc2_SiteId">
    <vt:lpwstr>823bfb03-da26-4cbf-a7d6-f02dbfdf182e</vt:lpwstr>
  </property>
  <property fmtid="{D5CDD505-2E9C-101B-9397-08002B2CF9AE}" pid="7" name="MSIP_Label_5b083577-197b-450c-831d-654cf3f56dc2_ActionId">
    <vt:lpwstr>f23c5b01-922b-40f5-8118-c2a9333741c0</vt:lpwstr>
  </property>
  <property fmtid="{D5CDD505-2E9C-101B-9397-08002B2CF9AE}" pid="8" name="MSIP_Label_5b083577-197b-450c-831d-654cf3f56dc2_ContentBits">
    <vt:lpwstr>0</vt:lpwstr>
  </property>
  <property fmtid="{D5CDD505-2E9C-101B-9397-08002B2CF9AE}" pid="9" name="MSIP_Label_5b083577-197b-450c-831d-654cf3f56dc2_Tag">
    <vt:lpwstr>50, 3, 0, 1</vt:lpwstr>
  </property>
  <property fmtid="{D5CDD505-2E9C-101B-9397-08002B2CF9AE}" pid="10" name="ContentTypeId">
    <vt:lpwstr>0x010100781568B1C4394FA28C28FD40A55844C00011FC80BCA66C1B46BA01D6B998701B3B00011B56C7932D1B489E45286C51F4DB65</vt:lpwstr>
  </property>
  <property fmtid="{D5CDD505-2E9C-101B-9397-08002B2CF9AE}" pid="11" name="QTBusinessOwner">
    <vt:lpwstr>36;#Strategic Communications|39585e78-966e-45fb-9e52-abd7492dbf3c</vt:lpwstr>
  </property>
  <property fmtid="{D5CDD505-2E9C-101B-9397-08002B2CF9AE}" pid="12" name="MediaServiceImageTags">
    <vt:lpwstr/>
  </property>
  <property fmtid="{D5CDD505-2E9C-101B-9397-08002B2CF9AE}" pid="13" name="QTSecurityClassification">
    <vt:lpwstr>1;#OFFICIAL|f67802d0-e2d2-455e-bfc4-106d673b036c</vt:lpwstr>
  </property>
  <property fmtid="{D5CDD505-2E9C-101B-9397-08002B2CF9AE}" pid="14" name="QTRetain">
    <vt:lpwstr>4;#Record|2584089d-4b41-46ae-ad46-8a9fb08e05f7</vt:lpwstr>
  </property>
  <property fmtid="{D5CDD505-2E9C-101B-9397-08002B2CF9AE}" pid="15" name="QTActivity">
    <vt:lpwstr>35;#Communication project|18252056-aa18-4866-8e72-ec85a3248cf9</vt:lpwstr>
  </property>
  <property fmtid="{D5CDD505-2E9C-101B-9397-08002B2CF9AE}" pid="16" name="QTEmailID">
    <vt:lpwstr/>
  </property>
  <property fmtid="{D5CDD505-2E9C-101B-9397-08002B2CF9AE}" pid="17" name="QTEmailReplyRecipients">
    <vt:lpwstr/>
  </property>
  <property fmtid="{D5CDD505-2E9C-101B-9397-08002B2CF9AE}" pid="18" name="Order">
    <vt:r8>2630500</vt:r8>
  </property>
  <property fmtid="{D5CDD505-2E9C-101B-9397-08002B2CF9AE}" pid="19" name="QTEmailFrom">
    <vt:lpwstr/>
  </property>
  <property fmtid="{D5CDD505-2E9C-101B-9397-08002B2CF9AE}" pid="20" name="QTEmailBCC">
    <vt:lpwstr/>
  </property>
  <property fmtid="{D5CDD505-2E9C-101B-9397-08002B2CF9AE}" pid="21" name="QTEmailAttachmentNames">
    <vt:lpwstr/>
  </property>
  <property fmtid="{D5CDD505-2E9C-101B-9397-08002B2CF9AE}" pid="22" name="QTEmailConversation">
    <vt:lpwstr/>
  </property>
  <property fmtid="{D5CDD505-2E9C-101B-9397-08002B2CF9AE}" pid="23" name="QTEmailReceivedOnBehalfOfName">
    <vt:lpwstr/>
  </property>
  <property fmtid="{D5CDD505-2E9C-101B-9397-08002B2CF9AE}" pid="24" name="DocumentSetDescription">
    <vt:lpwstr/>
  </property>
  <property fmtid="{D5CDD505-2E9C-101B-9397-08002B2CF9AE}" pid="25" name="xd_ProgID">
    <vt:lpwstr/>
  </property>
  <property fmtid="{D5CDD505-2E9C-101B-9397-08002B2CF9AE}" pid="26" name="QTEmailRetentionPolicyName">
    <vt:lpwstr/>
  </property>
  <property fmtid="{D5CDD505-2E9C-101B-9397-08002B2CF9AE}" pid="27" name="QTEmailReplyRecipientNames">
    <vt:lpwstr/>
  </property>
  <property fmtid="{D5CDD505-2E9C-101B-9397-08002B2CF9AE}" pid="28" name="ComplianceAssetId">
    <vt:lpwstr/>
  </property>
  <property fmtid="{D5CDD505-2E9C-101B-9397-08002B2CF9AE}" pid="29" name="TemplateUrl">
    <vt:lpwstr/>
  </property>
  <property fmtid="{D5CDD505-2E9C-101B-9397-08002B2CF9AE}" pid="30" name="QTEmailToSMTPAddress">
    <vt:lpwstr/>
  </property>
  <property fmtid="{D5CDD505-2E9C-101B-9397-08002B2CF9AE}" pid="31" name="QTEmailCompanies">
    <vt:lpwstr/>
  </property>
  <property fmtid="{D5CDD505-2E9C-101B-9397-08002B2CF9AE}" pid="32" name="QTEmailCCSMTPAddress">
    <vt:lpwstr/>
  </property>
  <property fmtid="{D5CDD505-2E9C-101B-9397-08002B2CF9AE}" pid="33" name="QTEmailFromSMTPAddress">
    <vt:lpwstr/>
  </property>
  <property fmtid="{D5CDD505-2E9C-101B-9397-08002B2CF9AE}" pid="34" name="QTEmailSubject">
    <vt:lpwstr/>
  </property>
  <property fmtid="{D5CDD505-2E9C-101B-9397-08002B2CF9AE}" pid="35" name="QTEmailAttachmentCount">
    <vt:lpwstr/>
  </property>
  <property fmtid="{D5CDD505-2E9C-101B-9397-08002B2CF9AE}" pid="36" name="QTEmailCC">
    <vt:lpwstr/>
  </property>
  <property fmtid="{D5CDD505-2E9C-101B-9397-08002B2CF9AE}" pid="37" name="_ExtendedDescription">
    <vt:lpwstr/>
  </property>
  <property fmtid="{D5CDD505-2E9C-101B-9397-08002B2CF9AE}" pid="38" name="QTEmailTo">
    <vt:lpwstr/>
  </property>
  <property fmtid="{D5CDD505-2E9C-101B-9397-08002B2CF9AE}" pid="39" name="QTEmailToAddress">
    <vt:lpwstr/>
  </property>
  <property fmtid="{D5CDD505-2E9C-101B-9397-08002B2CF9AE}" pid="40" name="TriggerFlowInfo">
    <vt:lpwstr/>
  </property>
  <property fmtid="{D5CDD505-2E9C-101B-9397-08002B2CF9AE}" pid="41" name="QTEmailHasAttachments">
    <vt:bool>false</vt:bool>
  </property>
  <property fmtid="{D5CDD505-2E9C-101B-9397-08002B2CF9AE}" pid="42" name="QTEmailBCCSMTPAddress">
    <vt:lpwstr/>
  </property>
  <property fmtid="{D5CDD505-2E9C-101B-9397-08002B2CF9AE}" pid="43" name="QTEmailBody">
    <vt:lpwstr/>
  </property>
  <property fmtid="{D5CDD505-2E9C-101B-9397-08002B2CF9AE}" pid="44" name="QTEmailConversationID">
    <vt:lpwstr/>
  </property>
  <property fmtid="{D5CDD505-2E9C-101B-9397-08002B2CF9AE}" pid="45" name="QTEmailType">
    <vt:lpwstr/>
  </property>
  <property fmtid="{D5CDD505-2E9C-101B-9397-08002B2CF9AE}" pid="46" name="QTEmailCategory">
    <vt:lpwstr/>
  </property>
  <property fmtid="{D5CDD505-2E9C-101B-9397-08002B2CF9AE}" pid="47" name="QTEmailReceivedByName">
    <vt:lpwstr/>
  </property>
  <property fmtid="{D5CDD505-2E9C-101B-9397-08002B2CF9AE}" pid="48" name="xd_Signature">
    <vt:bool>false</vt:bool>
  </property>
  <property fmtid="{D5CDD505-2E9C-101B-9397-08002B2CF9AE}" pid="49" name="QTEmailSentOnBehalfOfName">
    <vt:lpwstr/>
  </property>
  <property fmtid="{D5CDD505-2E9C-101B-9397-08002B2CF9AE}" pid="50" name="SharedWithUsers">
    <vt:lpwstr/>
  </property>
  <property fmtid="{D5CDD505-2E9C-101B-9397-08002B2CF9AE}" pid="51" name="QTEmailFromName">
    <vt:lpwstr/>
  </property>
  <property fmtid="{D5CDD505-2E9C-101B-9397-08002B2CF9AE}" pid="52" name="QTEmailConversationIndex">
    <vt:lpwstr/>
  </property>
  <property fmtid="{D5CDD505-2E9C-101B-9397-08002B2CF9AE}" pid="53" name="_dlc_DocIdItemGuid">
    <vt:lpwstr>0a43a6b6-c360-4df5-a150-7976ae9c0dc1</vt:lpwstr>
  </property>
  <property fmtid="{D5CDD505-2E9C-101B-9397-08002B2CF9AE}" pid="54" name="Draft/Final">
    <vt:lpwstr/>
  </property>
  <property fmtid="{D5CDD505-2E9C-101B-9397-08002B2CF9AE}" pid="55" name="Open_x002F_Closed_x002F_Grey">
    <vt:lpwstr/>
  </property>
  <property fmtid="{D5CDD505-2E9C-101B-9397-08002B2CF9AE}" pid="56" name="ServiceLine">
    <vt:lpwstr/>
  </property>
  <property fmtid="{D5CDD505-2E9C-101B-9397-08002B2CF9AE}" pid="57" name="ServiceMechanism">
    <vt:lpwstr/>
  </property>
  <property fmtid="{D5CDD505-2E9C-101B-9397-08002B2CF9AE}" pid="58" name="AgenciesAndStatutoryBodies">
    <vt:lpwstr/>
  </property>
  <property fmtid="{D5CDD505-2E9C-101B-9397-08002B2CF9AE}" pid="59" name="Draft_x002F_Final">
    <vt:lpwstr/>
  </property>
  <property fmtid="{D5CDD505-2E9C-101B-9397-08002B2CF9AE}" pid="60" name="Open/Closed/Grey">
    <vt:lpwstr/>
  </property>
</Properties>
</file>